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BC27D6" w:rsidRPr="00BC27D6" w14:paraId="1830B139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84522C4" w14:textId="77777777" w:rsidR="00BC27D6" w:rsidRPr="00BC27D6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BC27D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F53AD6C" w14:textId="77777777" w:rsidR="00BC27D6" w:rsidRPr="00BC27D6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C27D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C27D6" w:rsidRPr="00BC27D6" w14:paraId="1AF56415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B98E6" w14:textId="55564ACF" w:rsidR="00BC27D6" w:rsidRPr="00111585" w:rsidRDefault="008535B5" w:rsidP="0011158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</w:rPr>
            </w:pPr>
            <w:r w:rsidRPr="00111585">
              <w:rPr>
                <w:b/>
                <w:bCs/>
              </w:rPr>
              <w:t xml:space="preserve">NTT C5    </w:t>
            </w:r>
            <w:r w:rsidR="00BC27D6" w:rsidRPr="00111585">
              <w:rPr>
                <w:b/>
                <w:bCs/>
              </w:rPr>
              <w:t xml:space="preserve">Early Warning </w:t>
            </w:r>
            <w:r w:rsidR="00BC27D6" w:rsidRPr="00111585">
              <w:rPr>
                <w:b/>
                <w:bCs/>
                <w:color w:val="000000"/>
                <w:spacing w:val="-3"/>
                <w:lang w:eastAsia="zh-HK"/>
              </w:rPr>
              <w:t>Register</w:t>
            </w:r>
          </w:p>
        </w:tc>
      </w:tr>
      <w:tr w:rsidR="00BC27D6" w:rsidRPr="00BC27D6" w14:paraId="401ACD98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9C4" w14:textId="355F24A0" w:rsidR="00BC27D6" w:rsidRPr="00BC27D6" w:rsidRDefault="00BC27D6" w:rsidP="00BC27D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BC27D6"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BC27D6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BC27D6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Pr="00BC27D6">
              <w:rPr>
                <w:i/>
                <w:color w:val="000000"/>
                <w:spacing w:val="-3"/>
                <w:lang w:eastAsia="zh-HK"/>
              </w:rPr>
              <w:t>Client</w:t>
            </w:r>
            <w:r w:rsidRPr="00BC27D6">
              <w:rPr>
                <w:color w:val="000000"/>
                <w:spacing w:val="-3"/>
                <w:lang w:eastAsia="zh-HK"/>
              </w:rPr>
              <w:t xml:space="preserve"> in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Register are included in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BC27D6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BC27D6">
              <w:rPr>
                <w:color w:val="000000"/>
                <w:spacing w:val="-3"/>
                <w:lang w:eastAsia="zh-HK"/>
              </w:rPr>
              <w:t xml:space="preserve"> should list the additional matters it wishes to include in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Register in Contract Data Part two.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Register will also </w:t>
            </w:r>
            <w:r w:rsidRPr="00BC27D6">
              <w:rPr>
                <w:color w:val="000000"/>
                <w:spacing w:val="-3"/>
                <w:lang w:eastAsia="zh-HK"/>
              </w:rPr>
              <w:t>include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BC27D6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BC27D6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warning matter after the award of th</w:t>
            </w:r>
            <w:r w:rsidR="008535B5">
              <w:rPr>
                <w:color w:val="000000"/>
                <w:spacing w:val="-3"/>
                <w:lang w:eastAsia="zh-HK"/>
              </w:rPr>
              <w:t>e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contract in accordance with NEC Clause 11.2(</w:t>
            </w:r>
            <w:r w:rsidR="008535B5">
              <w:rPr>
                <w:color w:val="000000"/>
                <w:spacing w:val="-3"/>
                <w:lang w:eastAsia="zh-HK"/>
              </w:rPr>
              <w:t>7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>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E00A0" w14:textId="77777777" w:rsidR="00BC27D6" w:rsidRPr="00BC27D6" w:rsidDel="005B0A2D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BC27D6" w:rsidRDefault="003642BE" w:rsidP="00E66902"/>
    <w:sectPr w:rsidR="003642BE" w:rsidRPr="00BC27D6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99B21" w14:textId="77777777" w:rsidR="00630445" w:rsidRDefault="00630445" w:rsidP="004568A3">
      <w:r>
        <w:separator/>
      </w:r>
    </w:p>
  </w:endnote>
  <w:endnote w:type="continuationSeparator" w:id="0">
    <w:p w14:paraId="4B8129F7" w14:textId="77777777" w:rsidR="00630445" w:rsidRDefault="0063044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5642" w14:textId="77777777" w:rsidR="008535B5" w:rsidRPr="00111585" w:rsidRDefault="008535B5" w:rsidP="008535B5">
    <w:pPr>
      <w:pStyle w:val="a5"/>
      <w:pBdr>
        <w:bottom w:val="single" w:sz="12" w:space="1" w:color="auto"/>
      </w:pBdr>
    </w:pPr>
  </w:p>
  <w:p w14:paraId="62EF03E8" w14:textId="77777777" w:rsidR="008535B5" w:rsidRPr="00111585" w:rsidRDefault="008535B5" w:rsidP="00111585">
    <w:pPr>
      <w:pStyle w:val="a5"/>
      <w:tabs>
        <w:tab w:val="clear" w:pos="8306"/>
        <w:tab w:val="right" w:pos="8789"/>
      </w:tabs>
    </w:pPr>
  </w:p>
  <w:p w14:paraId="62DC6970" w14:textId="22B7C0FF" w:rsidR="004568A3" w:rsidRPr="00111585" w:rsidRDefault="008535B5" w:rsidP="00111585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111585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111585">
      <w:rPr>
        <w:b/>
      </w:rPr>
      <w:t xml:space="preserve"> </w:t>
    </w:r>
    <w:r>
      <w:rPr>
        <w:b/>
      </w:rPr>
      <w:t>TS</w:t>
    </w:r>
    <w:r w:rsidRPr="00111585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111585">
      <w:rPr>
        <w:b/>
      </w:rPr>
      <w:t>)</w:t>
    </w:r>
    <w:r w:rsidRPr="00111585">
      <w:rPr>
        <w:b/>
      </w:rPr>
      <w:tab/>
      <w:t xml:space="preserve">Page NTT C5 - </w:t>
    </w:r>
    <w:r w:rsidRPr="00111585">
      <w:rPr>
        <w:b/>
      </w:rPr>
      <w:fldChar w:fldCharType="begin"/>
    </w:r>
    <w:r w:rsidRPr="00111585">
      <w:rPr>
        <w:b/>
      </w:rPr>
      <w:instrText xml:space="preserve"> PAGE </w:instrText>
    </w:r>
    <w:r w:rsidRPr="00111585">
      <w:rPr>
        <w:b/>
      </w:rPr>
      <w:fldChar w:fldCharType="separate"/>
    </w:r>
    <w:r w:rsidR="00111585">
      <w:rPr>
        <w:b/>
        <w:noProof/>
      </w:rPr>
      <w:t>1</w:t>
    </w:r>
    <w:r w:rsidRPr="00111585">
      <w:rPr>
        <w:b/>
      </w:rPr>
      <w:fldChar w:fldCharType="end"/>
    </w:r>
    <w:r w:rsidRPr="00111585">
      <w:rPr>
        <w:b/>
      </w:rPr>
      <w:t xml:space="preserve"> of </w:t>
    </w:r>
    <w:r w:rsidRPr="00111585">
      <w:rPr>
        <w:b/>
      </w:rPr>
      <w:fldChar w:fldCharType="begin"/>
    </w:r>
    <w:r w:rsidRPr="00111585">
      <w:rPr>
        <w:b/>
      </w:rPr>
      <w:instrText xml:space="preserve"> NUMPAGES  </w:instrText>
    </w:r>
    <w:r w:rsidRPr="00111585">
      <w:rPr>
        <w:b/>
      </w:rPr>
      <w:fldChar w:fldCharType="separate"/>
    </w:r>
    <w:r w:rsidR="00111585">
      <w:rPr>
        <w:b/>
        <w:noProof/>
      </w:rPr>
      <w:t>1</w:t>
    </w:r>
    <w:r w:rsidRPr="0011158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E46E" w14:textId="77777777" w:rsidR="00630445" w:rsidRDefault="00630445" w:rsidP="004568A3">
      <w:r>
        <w:separator/>
      </w:r>
    </w:p>
  </w:footnote>
  <w:footnote w:type="continuationSeparator" w:id="0">
    <w:p w14:paraId="0B035051" w14:textId="77777777" w:rsidR="00630445" w:rsidRDefault="0063044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5464D55A"/>
    <w:lvl w:ilvl="0" w:tplc="622A3EAA">
      <w:start w:val="5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11585"/>
    <w:rsid w:val="001544B7"/>
    <w:rsid w:val="002F058F"/>
    <w:rsid w:val="00306013"/>
    <w:rsid w:val="003642BE"/>
    <w:rsid w:val="00387EC4"/>
    <w:rsid w:val="004568A3"/>
    <w:rsid w:val="004E02C3"/>
    <w:rsid w:val="005B143A"/>
    <w:rsid w:val="006023FF"/>
    <w:rsid w:val="00630445"/>
    <w:rsid w:val="00647613"/>
    <w:rsid w:val="0075499F"/>
    <w:rsid w:val="008535B5"/>
    <w:rsid w:val="008A26C9"/>
    <w:rsid w:val="00AC7B9C"/>
    <w:rsid w:val="00B45A9E"/>
    <w:rsid w:val="00B55637"/>
    <w:rsid w:val="00BC27D6"/>
    <w:rsid w:val="00C63B7A"/>
    <w:rsid w:val="00C64145"/>
    <w:rsid w:val="00CC20AB"/>
    <w:rsid w:val="00CF7E9E"/>
    <w:rsid w:val="00D416AE"/>
    <w:rsid w:val="00D62525"/>
    <w:rsid w:val="00DC23B2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3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3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2025-12-31T07:49:00Z</dcterms:created>
  <dcterms:modified xsi:type="dcterms:W3CDTF">2026-03-13T04:06:00Z</dcterms:modified>
</cp:coreProperties>
</file>