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EA0111" w:rsidRPr="00EA0111" w14:paraId="42FF351B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2992CB2B" w14:textId="77777777" w:rsidR="00EA0111" w:rsidRPr="00EA0111" w:rsidRDefault="00EA0111" w:rsidP="00EA0111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EA0111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7F88ED29" w14:textId="77777777" w:rsidR="00EA0111" w:rsidRPr="00EA0111" w:rsidRDefault="00EA0111" w:rsidP="00EA0111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EA0111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EA0111" w:rsidRPr="00EA0111" w14:paraId="01BD007F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A52659" w14:textId="4EC62872" w:rsidR="00EA0111" w:rsidRPr="00EA0111" w:rsidRDefault="00A80B8E" w:rsidP="009C4204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  <w:lang w:eastAsia="zh-HK"/>
              </w:rPr>
            </w:pPr>
            <w:r>
              <w:rPr>
                <w:b/>
                <w:color w:val="000000"/>
                <w:spacing w:val="-3"/>
                <w:lang w:eastAsia="zh-HK"/>
              </w:rPr>
              <w:t xml:space="preserve">NTT B4    </w:t>
            </w:r>
            <w:r w:rsidR="009C4204">
              <w:rPr>
                <w:b/>
                <w:color w:val="000000"/>
                <w:spacing w:val="-3"/>
                <w:lang w:eastAsia="zh-HK"/>
              </w:rPr>
              <w:t xml:space="preserve">Fee, </w:t>
            </w:r>
            <w:r w:rsidR="00EA0111" w:rsidRPr="00EA0111">
              <w:rPr>
                <w:b/>
                <w:color w:val="000000"/>
                <w:spacing w:val="-3"/>
                <w:lang w:eastAsia="zh-HK"/>
              </w:rPr>
              <w:t>Defined Cost, Price for Service Provided to Date</w:t>
            </w:r>
            <w:r w:rsidR="009C4204">
              <w:rPr>
                <w:b/>
                <w:color w:val="000000"/>
                <w:spacing w:val="-3"/>
                <w:lang w:eastAsia="zh-HK"/>
              </w:rPr>
              <w:t>,</w:t>
            </w:r>
            <w:r w:rsidR="00EA0111" w:rsidRPr="00EA0111">
              <w:rPr>
                <w:b/>
                <w:color w:val="000000"/>
                <w:spacing w:val="-3"/>
                <w:lang w:eastAsia="zh-HK"/>
              </w:rPr>
              <w:t xml:space="preserve"> </w:t>
            </w:r>
            <w:r w:rsidR="009C4204">
              <w:rPr>
                <w:b/>
                <w:color w:val="000000"/>
                <w:spacing w:val="-3"/>
                <w:lang w:eastAsia="zh-HK"/>
              </w:rPr>
              <w:t xml:space="preserve">Prices </w:t>
            </w:r>
            <w:r w:rsidR="00EA0111" w:rsidRPr="00EA0111">
              <w:rPr>
                <w:b/>
                <w:color w:val="000000"/>
                <w:spacing w:val="-3"/>
                <w:lang w:eastAsia="zh-HK"/>
              </w:rPr>
              <w:t xml:space="preserve">and the </w:t>
            </w:r>
            <w:r w:rsidR="00EA0111" w:rsidRPr="00EA0111">
              <w:rPr>
                <w:b/>
                <w:i/>
                <w:color w:val="000000"/>
                <w:spacing w:val="-3"/>
                <w:lang w:eastAsia="zh-HK"/>
              </w:rPr>
              <w:t>Contractor</w:t>
            </w:r>
            <w:r w:rsidR="00EA0111" w:rsidRPr="00EA0111">
              <w:rPr>
                <w:b/>
                <w:color w:val="000000"/>
                <w:spacing w:val="-3"/>
                <w:lang w:eastAsia="zh-HK"/>
              </w:rPr>
              <w:t>’s share</w:t>
            </w:r>
          </w:p>
        </w:tc>
      </w:tr>
      <w:tr w:rsidR="00EA0111" w:rsidRPr="00EA0111" w14:paraId="5EB1ED73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BA6" w14:textId="6DEE0903" w:rsidR="00EA0111" w:rsidRPr="00EA0111" w:rsidRDefault="00EA0111">
            <w:pPr>
              <w:tabs>
                <w:tab w:val="left" w:pos="690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EA0111">
              <w:rPr>
                <w:lang w:eastAsia="zh-HK"/>
              </w:rPr>
              <w:t>Tenderers’ attention is drawn to</w:t>
            </w:r>
            <w:r w:rsidRPr="00EA0111">
              <w:rPr>
                <w:rFonts w:hint="eastAsia"/>
                <w:lang w:eastAsia="zh-HK"/>
              </w:rPr>
              <w:t xml:space="preserve"> NEC Clauses </w:t>
            </w:r>
            <w:r w:rsidRPr="00C81505">
              <w:t>11.2(</w:t>
            </w:r>
            <w:r w:rsidR="00A80B8E" w:rsidRPr="00C81505">
              <w:t>9</w:t>
            </w:r>
            <w:r w:rsidRPr="00C81505">
              <w:t xml:space="preserve">), </w:t>
            </w:r>
            <w:r w:rsidRPr="00C81505">
              <w:rPr>
                <w:lang w:eastAsia="zh-HK"/>
              </w:rPr>
              <w:t>11.2(</w:t>
            </w:r>
            <w:r w:rsidR="009C4204" w:rsidRPr="00C81505">
              <w:rPr>
                <w:lang w:eastAsia="zh-HK"/>
              </w:rPr>
              <w:t>28</w:t>
            </w:r>
            <w:r w:rsidRPr="00C81505">
              <w:rPr>
                <w:lang w:eastAsia="zh-HK"/>
              </w:rPr>
              <w:t xml:space="preserve">), </w:t>
            </w:r>
            <w:r w:rsidRPr="00EA0111">
              <w:rPr>
                <w:color w:val="0000FF"/>
                <w:lang w:eastAsia="zh-HK"/>
              </w:rPr>
              <w:t>*</w:t>
            </w:r>
            <w:r w:rsidRPr="00EA0111">
              <w:rPr>
                <w:rFonts w:hint="eastAsia"/>
                <w:color w:val="0000FF"/>
                <w:lang w:eastAsia="zh-HK"/>
              </w:rPr>
              <w:t>11.2(</w:t>
            </w:r>
            <w:r w:rsidR="009C4204">
              <w:rPr>
                <w:color w:val="0000FF"/>
                <w:lang w:eastAsia="zh-HK"/>
              </w:rPr>
              <w:t>30</w:t>
            </w:r>
            <w:r w:rsidRPr="00EA0111">
              <w:rPr>
                <w:rFonts w:hint="eastAsia"/>
                <w:color w:val="0000FF"/>
                <w:lang w:eastAsia="zh-HK"/>
              </w:rPr>
              <w:t xml:space="preserve">), </w:t>
            </w:r>
            <w:r w:rsidRPr="00EA0111">
              <w:rPr>
                <w:color w:val="0000FF"/>
                <w:lang w:eastAsia="zh-HK"/>
              </w:rPr>
              <w:t>*</w:t>
            </w:r>
            <w:r w:rsidRPr="00EA0111">
              <w:rPr>
                <w:rFonts w:hint="eastAsia"/>
                <w:color w:val="0000FF"/>
                <w:lang w:eastAsia="zh-HK"/>
              </w:rPr>
              <w:t>11.2(</w:t>
            </w:r>
            <w:r w:rsidR="009C4204">
              <w:rPr>
                <w:color w:val="0000FF"/>
                <w:lang w:eastAsia="zh-HK"/>
              </w:rPr>
              <w:t>31</w:t>
            </w:r>
            <w:r w:rsidRPr="00EA0111">
              <w:rPr>
                <w:color w:val="0000FF"/>
                <w:lang w:eastAsia="zh-HK"/>
              </w:rPr>
              <w:t>)</w:t>
            </w:r>
            <w:r w:rsidR="009C4204">
              <w:rPr>
                <w:color w:val="0000FF"/>
                <w:lang w:eastAsia="zh-HK"/>
              </w:rPr>
              <w:t xml:space="preserve">, </w:t>
            </w:r>
            <w:r w:rsidR="009C4204" w:rsidRPr="00C81505">
              <w:rPr>
                <w:lang w:eastAsia="zh-HK"/>
              </w:rPr>
              <w:t>11.2(32)</w:t>
            </w:r>
            <w:r w:rsidRPr="00C81505">
              <w:rPr>
                <w:lang w:eastAsia="zh-HK"/>
              </w:rPr>
              <w:t xml:space="preserve"> and 54 </w:t>
            </w:r>
            <w:r w:rsidRPr="00EA0111">
              <w:rPr>
                <w:lang w:eastAsia="zh-HK"/>
              </w:rPr>
              <w:t>with amendments as detailed in the</w:t>
            </w:r>
            <w:r w:rsidR="00A80B8E">
              <w:rPr>
                <w:lang w:eastAsia="zh-HK"/>
              </w:rPr>
              <w:t xml:space="preserve"> </w:t>
            </w:r>
            <w:r w:rsidR="00A80B8E" w:rsidRPr="00C81505">
              <w:rPr>
                <w:color w:val="0000FF"/>
                <w:lang w:eastAsia="zh-HK"/>
              </w:rPr>
              <w:t>[Section I]</w:t>
            </w:r>
            <w:r w:rsidR="00A80B8E" w:rsidRPr="00CA5F7B">
              <w:rPr>
                <w:color w:val="0000FF"/>
                <w:vertAlign w:val="superscript"/>
                <w:lang w:eastAsia="zh-HK"/>
              </w:rPr>
              <w:t xml:space="preserve"> #</w:t>
            </w:r>
            <w:r w:rsidR="00A80B8E">
              <w:rPr>
                <w:color w:val="0000FF"/>
                <w:lang w:eastAsia="zh-HK"/>
              </w:rPr>
              <w:t xml:space="preserve"> </w:t>
            </w:r>
            <w:r w:rsidR="00A80B8E" w:rsidRPr="00C81505">
              <w:rPr>
                <w:lang w:eastAsia="zh-HK"/>
              </w:rPr>
              <w:t xml:space="preserve">of the </w:t>
            </w:r>
            <w:r w:rsidR="00A80B8E" w:rsidRPr="00C81505">
              <w:rPr>
                <w:i/>
                <w:lang w:eastAsia="zh-HK"/>
              </w:rPr>
              <w:t>additional conditions of contract</w:t>
            </w:r>
            <w:r w:rsidRPr="00EA0111">
              <w:rPr>
                <w:rFonts w:hint="eastAsia"/>
                <w:lang w:eastAsia="zh-HK"/>
              </w:rPr>
              <w:t xml:space="preserve"> for the definitions of the Fee, the Defined Cost, the </w:t>
            </w:r>
            <w:r w:rsidRPr="00EA0111">
              <w:rPr>
                <w:lang w:eastAsia="zh-HK"/>
              </w:rPr>
              <w:t>Price for Service Provided to Date</w:t>
            </w:r>
            <w:r w:rsidRPr="00EA0111">
              <w:rPr>
                <w:rFonts w:hint="eastAsia"/>
                <w:lang w:eastAsia="zh-HK"/>
              </w:rPr>
              <w:t xml:space="preserve">, the Prices and the </w:t>
            </w:r>
            <w:r w:rsidRPr="00EA0111">
              <w:rPr>
                <w:rFonts w:hint="eastAsia"/>
                <w:i/>
                <w:lang w:eastAsia="zh-HK"/>
              </w:rPr>
              <w:t>Contractor</w:t>
            </w:r>
            <w:r w:rsidRPr="00EA0111">
              <w:rPr>
                <w:lang w:eastAsia="zh-HK"/>
              </w:rPr>
              <w:t>’</w:t>
            </w:r>
            <w:r w:rsidRPr="00EA0111">
              <w:rPr>
                <w:rFonts w:hint="eastAsia"/>
                <w:lang w:eastAsia="zh-HK"/>
              </w:rPr>
              <w:t>s share.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C09" w14:textId="5FDCB8D1" w:rsidR="00EA0111" w:rsidRPr="00EA0111" w:rsidRDefault="00EA0111" w:rsidP="00EA0111">
            <w:pPr>
              <w:ind w:leftChars="63" w:left="151"/>
              <w:jc w:val="both"/>
              <w:rPr>
                <w:lang w:eastAsia="zh-HK"/>
              </w:rPr>
            </w:pPr>
            <w:r w:rsidRPr="00EA0111">
              <w:rPr>
                <w:rFonts w:hint="eastAsia"/>
                <w:lang w:eastAsia="zh-HK"/>
              </w:rPr>
              <w:t xml:space="preserve">This </w:t>
            </w:r>
            <w:r w:rsidR="00A80B8E">
              <w:rPr>
                <w:lang w:eastAsia="zh-HK"/>
              </w:rPr>
              <w:t>c</w:t>
            </w:r>
            <w:r w:rsidRPr="00EA0111">
              <w:rPr>
                <w:rFonts w:hint="eastAsia"/>
                <w:lang w:eastAsia="zh-HK"/>
              </w:rPr>
              <w:t>lause is only applicable to Option C.</w:t>
            </w:r>
          </w:p>
          <w:p w14:paraId="79F25FBF" w14:textId="77777777" w:rsidR="00EA0111" w:rsidRPr="00EA0111" w:rsidRDefault="00EA0111" w:rsidP="00EA0111">
            <w:pPr>
              <w:ind w:leftChars="63" w:left="151"/>
              <w:jc w:val="both"/>
              <w:rPr>
                <w:lang w:eastAsia="zh-HK"/>
              </w:rPr>
            </w:pPr>
          </w:p>
          <w:p w14:paraId="6250115B" w14:textId="77777777" w:rsidR="00EA0111" w:rsidRPr="00EA0111" w:rsidRDefault="00EA0111" w:rsidP="00EA0111">
            <w:pPr>
              <w:ind w:leftChars="63" w:left="151"/>
              <w:jc w:val="both"/>
              <w:rPr>
                <w:color w:val="0000FF"/>
                <w:lang w:eastAsia="zh-HK"/>
              </w:rPr>
            </w:pPr>
            <w:r w:rsidRPr="00EA0111">
              <w:rPr>
                <w:rFonts w:hint="eastAsia"/>
                <w:color w:val="0000FF"/>
                <w:lang w:eastAsia="zh-HK"/>
              </w:rPr>
              <w:t xml:space="preserve">* </w:t>
            </w:r>
            <w:r w:rsidRPr="00EA0111">
              <w:rPr>
                <w:color w:val="0000FF"/>
                <w:lang w:eastAsia="zh-HK"/>
              </w:rPr>
              <w:t>amend</w:t>
            </w:r>
            <w:r w:rsidRPr="00EA0111">
              <w:rPr>
                <w:rFonts w:hint="eastAsia"/>
                <w:color w:val="0000FF"/>
                <w:lang w:eastAsia="zh-HK"/>
              </w:rPr>
              <w:t xml:space="preserve"> </w:t>
            </w:r>
            <w:r w:rsidRPr="00EA0111">
              <w:rPr>
                <w:color w:val="0000FF"/>
                <w:lang w:eastAsia="zh-HK"/>
              </w:rPr>
              <w:t>as</w:t>
            </w:r>
            <w:r w:rsidRPr="00EA0111">
              <w:rPr>
                <w:rFonts w:hint="eastAsia"/>
                <w:color w:val="0000FF"/>
                <w:lang w:eastAsia="zh-HK"/>
              </w:rPr>
              <w:t xml:space="preserve"> appropriate</w:t>
            </w:r>
          </w:p>
          <w:p w14:paraId="34B6AA59" w14:textId="77777777" w:rsidR="00EA0111" w:rsidRPr="00EA0111" w:rsidRDefault="00EA0111" w:rsidP="00EA0111">
            <w:pPr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527CCDD1" w14:textId="6DF43541" w:rsidR="003642BE" w:rsidRDefault="003642BE" w:rsidP="00E66902"/>
    <w:p w14:paraId="4CABFF1D" w14:textId="03DAFF48" w:rsidR="006321F0" w:rsidRPr="00FD5FAA" w:rsidRDefault="006321F0" w:rsidP="0059029F"/>
    <w:sectPr w:rsidR="006321F0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04B49" w14:textId="77777777" w:rsidR="007B23A6" w:rsidRDefault="007B23A6" w:rsidP="004568A3">
      <w:r>
        <w:separator/>
      </w:r>
    </w:p>
  </w:endnote>
  <w:endnote w:type="continuationSeparator" w:id="0">
    <w:p w14:paraId="1DDC9DA8" w14:textId="77777777" w:rsidR="007B23A6" w:rsidRDefault="007B23A6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9DFB1" w14:textId="77777777" w:rsidR="006321F0" w:rsidRPr="00884390" w:rsidRDefault="006321F0" w:rsidP="006321F0">
    <w:pPr>
      <w:pStyle w:val="a5"/>
      <w:pBdr>
        <w:bottom w:val="single" w:sz="12" w:space="1" w:color="auto"/>
      </w:pBdr>
    </w:pPr>
  </w:p>
  <w:p w14:paraId="5BD7732C" w14:textId="77777777" w:rsidR="006321F0" w:rsidRPr="00884390" w:rsidRDefault="006321F0" w:rsidP="006321F0">
    <w:pPr>
      <w:pStyle w:val="a5"/>
    </w:pPr>
  </w:p>
  <w:p w14:paraId="62DC6970" w14:textId="3AC04B1C" w:rsidR="004568A3" w:rsidRPr="00C81505" w:rsidRDefault="006321F0" w:rsidP="00C81505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E22887">
      <w:rPr>
        <w:b/>
        <w:bCs/>
        <w:iCs/>
        <w:lang w:eastAsia="zh-HK"/>
      </w:rPr>
      <w:t xml:space="preserve">Library of Standard NTT for NEC </w:t>
    </w:r>
    <w:r>
      <w:rPr>
        <w:b/>
        <w:bCs/>
        <w:iCs/>
        <w:lang w:eastAsia="zh-HK"/>
      </w:rPr>
      <w:t>TSC</w:t>
    </w:r>
    <w:r w:rsidRPr="00E22887">
      <w:rPr>
        <w:b/>
        <w:bCs/>
        <w:iCs/>
      </w:rPr>
      <w:t xml:space="preserve"> HK Edition (</w:t>
    </w:r>
    <w:r>
      <w:rPr>
        <w:b/>
        <w:bCs/>
        <w:iCs/>
      </w:rPr>
      <w:t>27.2</w:t>
    </w:r>
    <w:r w:rsidRPr="00E22887">
      <w:rPr>
        <w:b/>
        <w:bCs/>
        <w:iCs/>
      </w:rPr>
      <w:t>.202</w:t>
    </w:r>
    <w:r>
      <w:rPr>
        <w:b/>
        <w:bCs/>
        <w:iCs/>
      </w:rPr>
      <w:t>6</w:t>
    </w:r>
    <w:r w:rsidRPr="00E22887">
      <w:rPr>
        <w:b/>
        <w:bCs/>
        <w:iCs/>
      </w:rPr>
      <w:t>)</w:t>
    </w:r>
    <w:r w:rsidRPr="00E22887">
      <w:rPr>
        <w:b/>
        <w:bCs/>
        <w:iCs/>
      </w:rPr>
      <w:tab/>
      <w:t xml:space="preserve">Page NTT B4 - </w:t>
    </w:r>
    <w:r w:rsidRPr="00E22887">
      <w:rPr>
        <w:b/>
        <w:bCs/>
        <w:iCs/>
      </w:rPr>
      <w:fldChar w:fldCharType="begin"/>
    </w:r>
    <w:r w:rsidRPr="00E22887">
      <w:rPr>
        <w:b/>
        <w:bCs/>
        <w:iCs/>
      </w:rPr>
      <w:instrText xml:space="preserve"> PAGE </w:instrText>
    </w:r>
    <w:r w:rsidRPr="00E22887">
      <w:rPr>
        <w:b/>
        <w:bCs/>
        <w:iCs/>
      </w:rPr>
      <w:fldChar w:fldCharType="separate"/>
    </w:r>
    <w:r w:rsidR="00C81505">
      <w:rPr>
        <w:b/>
        <w:bCs/>
        <w:iCs/>
        <w:noProof/>
      </w:rPr>
      <w:t>1</w:t>
    </w:r>
    <w:r w:rsidRPr="00E22887">
      <w:rPr>
        <w:b/>
        <w:bCs/>
        <w:iCs/>
      </w:rPr>
      <w:fldChar w:fldCharType="end"/>
    </w:r>
    <w:r w:rsidRPr="00E22887">
      <w:rPr>
        <w:b/>
        <w:bCs/>
        <w:iCs/>
      </w:rPr>
      <w:t xml:space="preserve"> of </w:t>
    </w:r>
    <w:r w:rsidRPr="00E22887">
      <w:rPr>
        <w:b/>
        <w:bCs/>
        <w:iCs/>
      </w:rPr>
      <w:fldChar w:fldCharType="begin"/>
    </w:r>
    <w:r w:rsidRPr="00E22887">
      <w:rPr>
        <w:b/>
        <w:bCs/>
        <w:iCs/>
      </w:rPr>
      <w:instrText xml:space="preserve"> NUMPAGES  </w:instrText>
    </w:r>
    <w:r w:rsidRPr="00E22887">
      <w:rPr>
        <w:b/>
        <w:bCs/>
        <w:iCs/>
      </w:rPr>
      <w:fldChar w:fldCharType="separate"/>
    </w:r>
    <w:r w:rsidR="00C81505">
      <w:rPr>
        <w:b/>
        <w:bCs/>
        <w:iCs/>
        <w:noProof/>
      </w:rPr>
      <w:t>1</w:t>
    </w:r>
    <w:r w:rsidRPr="00E22887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56C10" w14:textId="77777777" w:rsidR="007B23A6" w:rsidRDefault="007B23A6" w:rsidP="004568A3">
      <w:r>
        <w:separator/>
      </w:r>
    </w:p>
  </w:footnote>
  <w:footnote w:type="continuationSeparator" w:id="0">
    <w:p w14:paraId="38EB6A5F" w14:textId="77777777" w:rsidR="007B23A6" w:rsidRDefault="007B23A6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B65FD9"/>
    <w:multiLevelType w:val="hybridMultilevel"/>
    <w:tmpl w:val="9A82F9B0"/>
    <w:lvl w:ilvl="0" w:tplc="A1C6AFB8">
      <w:start w:val="4"/>
      <w:numFmt w:val="decimal"/>
      <w:lvlText w:val="NTT  B%1"/>
      <w:lvlJc w:val="left"/>
      <w:pPr>
        <w:ind w:left="480" w:hanging="196"/>
      </w:pPr>
      <w:rPr>
        <w:rFonts w:hint="eastAsia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2F058F"/>
    <w:rsid w:val="00306013"/>
    <w:rsid w:val="00354115"/>
    <w:rsid w:val="003642BE"/>
    <w:rsid w:val="00387EC4"/>
    <w:rsid w:val="004568A3"/>
    <w:rsid w:val="0059029F"/>
    <w:rsid w:val="005B143A"/>
    <w:rsid w:val="006321F0"/>
    <w:rsid w:val="00647613"/>
    <w:rsid w:val="0071126C"/>
    <w:rsid w:val="007B23A6"/>
    <w:rsid w:val="008A26C9"/>
    <w:rsid w:val="00992894"/>
    <w:rsid w:val="009C4204"/>
    <w:rsid w:val="00A80B8E"/>
    <w:rsid w:val="00AC7B9C"/>
    <w:rsid w:val="00B45A9E"/>
    <w:rsid w:val="00B55637"/>
    <w:rsid w:val="00C63B7A"/>
    <w:rsid w:val="00C64145"/>
    <w:rsid w:val="00C81505"/>
    <w:rsid w:val="00CC20AB"/>
    <w:rsid w:val="00CF6BA1"/>
    <w:rsid w:val="00CF7E9E"/>
    <w:rsid w:val="00D416AE"/>
    <w:rsid w:val="00D62525"/>
    <w:rsid w:val="00DD2E02"/>
    <w:rsid w:val="00E01368"/>
    <w:rsid w:val="00E66902"/>
    <w:rsid w:val="00EA0111"/>
    <w:rsid w:val="00F7775B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0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0B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4</cp:revision>
  <dcterms:created xsi:type="dcterms:W3CDTF">2026-01-14T07:11:00Z</dcterms:created>
  <dcterms:modified xsi:type="dcterms:W3CDTF">2026-03-13T04:02:00Z</dcterms:modified>
</cp:coreProperties>
</file>