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7"/>
        <w:gridCol w:w="4081"/>
      </w:tblGrid>
      <w:tr w:rsidR="00427391" w14:paraId="514A9C5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5713AAD" w14:textId="77777777" w:rsidR="00427391" w:rsidRDefault="00427391" w:rsidP="00453EC7">
            <w:pPr>
              <w:pStyle w:val="Title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3E4F2FD" w14:textId="77777777" w:rsidR="00427391" w:rsidRDefault="00427391" w:rsidP="00453EC7">
            <w:pPr>
              <w:pStyle w:val="Title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E2DC1FE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D8E6D" w14:textId="77777777" w:rsidR="008E5326" w:rsidRPr="00070E5A" w:rsidRDefault="00C366F6" w:rsidP="00A84D96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A84D96">
              <w:rPr>
                <w:bCs w:val="0"/>
                <w:sz w:val="24"/>
                <w:lang w:eastAsia="zh-HK"/>
              </w:rPr>
              <w:t>6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361FD4" w:rsidRPr="00361FD4">
              <w:rPr>
                <w:bCs w:val="0"/>
                <w:sz w:val="24"/>
                <w:lang w:eastAsia="zh-HK"/>
              </w:rPr>
              <w:t>Check list for</w:t>
            </w:r>
            <w:r w:rsidR="00A84D96">
              <w:rPr>
                <w:bCs w:val="0"/>
                <w:sz w:val="24"/>
                <w:lang w:eastAsia="zh-HK"/>
              </w:rPr>
              <w:t xml:space="preserve"> </w:t>
            </w:r>
            <w:r w:rsidR="005E200A">
              <w:rPr>
                <w:bCs w:val="0"/>
                <w:sz w:val="24"/>
                <w:lang w:eastAsia="zh-HK"/>
              </w:rPr>
              <w:t xml:space="preserve">optional </w:t>
            </w:r>
            <w:r w:rsidR="00A84D96">
              <w:rPr>
                <w:bCs w:val="0"/>
                <w:sz w:val="24"/>
                <w:lang w:eastAsia="zh-HK"/>
              </w:rPr>
              <w:t>hard copy submission</w:t>
            </w:r>
          </w:p>
        </w:tc>
      </w:tr>
      <w:tr w:rsidR="00361FD4" w:rsidRPr="009D5AC9" w14:paraId="5EB1B8F8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7C77F14E" w14:textId="5099AA8B" w:rsidR="00A84D96" w:rsidRPr="0003302C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>
              <w:rPr>
                <w:b w:val="0"/>
                <w:bCs w:val="0"/>
                <w:sz w:val="24"/>
                <w:lang w:eastAsia="zh-HK"/>
              </w:rPr>
              <w:t>)</w:t>
            </w:r>
            <w:r>
              <w:rPr>
                <w:b w:val="0"/>
                <w:bCs w:val="0"/>
                <w:sz w:val="24"/>
                <w:lang w:eastAsia="zh-HK"/>
              </w:rPr>
              <w:tab/>
            </w:r>
            <w:r w:rsidR="00A84D96">
              <w:rPr>
                <w:b w:val="0"/>
                <w:bCs w:val="0"/>
                <w:sz w:val="24"/>
              </w:rPr>
              <w:t>Tenderers’ attention is d</w:t>
            </w:r>
            <w:r w:rsidR="00A84D96" w:rsidRPr="00C640BC">
              <w:rPr>
                <w:b w:val="0"/>
                <w:bCs w:val="0"/>
                <w:sz w:val="24"/>
              </w:rPr>
              <w:t xml:space="preserve">rawn to </w:t>
            </w:r>
            <w:r w:rsidR="00617CCA" w:rsidRPr="00C640BC">
              <w:rPr>
                <w:b w:val="0"/>
                <w:bCs w:val="0"/>
                <w:sz w:val="24"/>
              </w:rPr>
              <w:t xml:space="preserve">Clause GCT 4(4) of the </w:t>
            </w:r>
            <w:r w:rsidR="00A84D96" w:rsidRPr="00C640BC">
              <w:rPr>
                <w:b w:val="0"/>
                <w:bCs w:val="0"/>
                <w:sz w:val="24"/>
              </w:rPr>
              <w:t xml:space="preserve">General Conditions of </w:t>
            </w:r>
            <w:r w:rsidR="009A666D" w:rsidRPr="00C640BC">
              <w:rPr>
                <w:b w:val="0"/>
                <w:bCs w:val="0"/>
                <w:sz w:val="24"/>
              </w:rPr>
              <w:t xml:space="preserve">Tender </w:t>
            </w:r>
            <w:r w:rsidR="00A84D96" w:rsidRPr="00C640BC">
              <w:rPr>
                <w:b w:val="0"/>
                <w:bCs w:val="0"/>
                <w:sz w:val="24"/>
              </w:rPr>
              <w:t>t</w:t>
            </w:r>
            <w:r w:rsidR="00F628B7" w:rsidRPr="00C640BC">
              <w:rPr>
                <w:b w:val="0"/>
                <w:bCs w:val="0"/>
                <w:sz w:val="24"/>
              </w:rPr>
              <w:t>hat s</w:t>
            </w:r>
            <w:r w:rsidR="00A84D96" w:rsidRPr="00C640BC">
              <w:rPr>
                <w:b w:val="0"/>
                <w:bCs w:val="0"/>
                <w:sz w:val="24"/>
              </w:rPr>
              <w:t xml:space="preserve">ubmission in </w:t>
            </w:r>
            <w:r w:rsidR="00A84D96" w:rsidRPr="00C640BC">
              <w:rPr>
                <w:bCs w:val="0"/>
                <w:sz w:val="24"/>
                <w:u w:val="single"/>
              </w:rPr>
              <w:t>hard copy is optional</w:t>
            </w:r>
            <w:r w:rsidR="00A84D96" w:rsidRPr="00C640BC">
              <w:rPr>
                <w:b w:val="0"/>
                <w:bCs w:val="0"/>
                <w:sz w:val="24"/>
              </w:rPr>
              <w:t xml:space="preserve">. </w:t>
            </w:r>
            <w:r w:rsidR="0003302C" w:rsidRPr="00C640BC">
              <w:rPr>
                <w:b w:val="0"/>
                <w:bCs w:val="0"/>
                <w:sz w:val="24"/>
              </w:rPr>
              <w:t xml:space="preserve"> </w:t>
            </w:r>
            <w:r w:rsidR="00064FAB" w:rsidRPr="00C640BC">
              <w:rPr>
                <w:b w:val="0"/>
                <w:bCs w:val="0"/>
                <w:sz w:val="24"/>
              </w:rPr>
              <w:t>P</w:t>
            </w:r>
            <w:r w:rsidR="0003302C" w:rsidRPr="00C640BC">
              <w:rPr>
                <w:b w:val="0"/>
                <w:bCs w:val="0"/>
                <w:sz w:val="24"/>
              </w:rPr>
              <w:t xml:space="preserve">lease note that the hard copy tender </w:t>
            </w:r>
            <w:r w:rsidR="0003302C" w:rsidRPr="00C640BC">
              <w:rPr>
                <w:bCs w:val="0"/>
                <w:sz w:val="24"/>
                <w:u w:val="single"/>
              </w:rPr>
              <w:t>will not be used</w:t>
            </w:r>
            <w:r w:rsidR="0003302C" w:rsidRPr="00C640BC">
              <w:rPr>
                <w:b w:val="0"/>
                <w:bCs w:val="0"/>
                <w:sz w:val="24"/>
              </w:rPr>
              <w:t xml:space="preserve"> except in the circumstances provided in </w:t>
            </w:r>
            <w:r w:rsidR="00617CCA" w:rsidRPr="00C640BC">
              <w:rPr>
                <w:b w:val="0"/>
                <w:bCs w:val="0"/>
                <w:sz w:val="24"/>
              </w:rPr>
              <w:t xml:space="preserve">Clause GCT 4(5) of the </w:t>
            </w:r>
            <w:r w:rsidR="0003302C" w:rsidRPr="00C640BC">
              <w:rPr>
                <w:b w:val="0"/>
                <w:bCs w:val="0"/>
                <w:sz w:val="24"/>
              </w:rPr>
              <w:t>General Conditions of Tender</w:t>
            </w:r>
            <w:r w:rsidR="0003302C" w:rsidRPr="00C22310">
              <w:rPr>
                <w:b w:val="0"/>
                <w:bCs w:val="0"/>
                <w:sz w:val="24"/>
              </w:rPr>
              <w:t>.</w:t>
            </w:r>
          </w:p>
          <w:p w14:paraId="20713AD8" w14:textId="77777777" w:rsidR="00361FD4" w:rsidRDefault="00355318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Del="00355318"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 </w:t>
            </w:r>
            <w:r w:rsidR="00A84D96">
              <w:rPr>
                <w:b w:val="0"/>
                <w:bCs w:val="0"/>
                <w:sz w:val="24"/>
                <w:lang w:eastAsia="zh-HK"/>
              </w:rPr>
              <w:t>(2)</w:t>
            </w:r>
            <w:r w:rsidR="00A84D96">
              <w:rPr>
                <w:b w:val="0"/>
                <w:bCs w:val="0"/>
                <w:sz w:val="24"/>
                <w:lang w:eastAsia="zh-HK"/>
              </w:rPr>
              <w:tab/>
            </w:r>
            <w:r w:rsidR="005E200A">
              <w:rPr>
                <w:b w:val="0"/>
                <w:bCs w:val="0"/>
                <w:sz w:val="24"/>
                <w:lang w:eastAsia="zh-HK"/>
              </w:rPr>
              <w:t>If</w:t>
            </w:r>
            <w:r w:rsidR="00F628B7">
              <w:rPr>
                <w:b w:val="0"/>
                <w:bCs w:val="0"/>
                <w:sz w:val="24"/>
                <w:lang w:eastAsia="zh-HK"/>
              </w:rPr>
              <w:t xml:space="preserve"> a tenderer </w:t>
            </w:r>
            <w:r w:rsidR="005E200A">
              <w:rPr>
                <w:b w:val="0"/>
                <w:bCs w:val="0"/>
                <w:sz w:val="24"/>
                <w:lang w:eastAsia="zh-HK"/>
              </w:rPr>
              <w:t xml:space="preserve">opts </w:t>
            </w:r>
            <w:r w:rsidR="00F628B7">
              <w:rPr>
                <w:b w:val="0"/>
                <w:bCs w:val="0"/>
                <w:sz w:val="24"/>
                <w:lang w:eastAsia="zh-HK"/>
              </w:rPr>
              <w:t xml:space="preserve">to submit hard copy </w:t>
            </w:r>
            <w:r w:rsidR="005E200A">
              <w:rPr>
                <w:b w:val="0"/>
                <w:bCs w:val="0"/>
                <w:sz w:val="24"/>
                <w:lang w:eastAsia="zh-HK"/>
              </w:rPr>
              <w:t xml:space="preserve">tender </w:t>
            </w:r>
            <w:r w:rsidR="00F628B7">
              <w:rPr>
                <w:b w:val="0"/>
                <w:bCs w:val="0"/>
                <w:sz w:val="24"/>
                <w:lang w:eastAsia="zh-HK"/>
              </w:rPr>
              <w:t>in additional to the electronic submission, b</w:t>
            </w:r>
            <w:r w:rsidR="00361FD4" w:rsidRPr="003F77E5">
              <w:rPr>
                <w:b w:val="0"/>
                <w:bCs w:val="0"/>
                <w:sz w:val="24"/>
                <w:lang w:eastAsia="zh-HK"/>
              </w:rPr>
              <w:t xml:space="preserve">efore the tender is sealed and delivered to the </w:t>
            </w:r>
            <w:r w:rsidR="00361FD4"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="00361FD4" w:rsidRPr="003F77E5">
              <w:rPr>
                <w:b w:val="0"/>
                <w:bCs w:val="0"/>
                <w:sz w:val="24"/>
                <w:lang w:eastAsia="zh-HK"/>
              </w:rPr>
              <w:t>, please check the following:</w:t>
            </w:r>
          </w:p>
          <w:p w14:paraId="32EB2D89" w14:textId="74CD34C0" w:rsidR="00361FD4" w:rsidRPr="003F77E5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F77E5">
              <w:rPr>
                <w:b w:val="0"/>
                <w:bCs w:val="0"/>
                <w:sz w:val="24"/>
                <w:lang w:eastAsia="zh-HK"/>
              </w:rPr>
              <w:t>(a)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 </w:t>
            </w:r>
            <w:r w:rsidR="00D72D3E">
              <w:rPr>
                <w:b w:val="0"/>
                <w:bCs w:val="0"/>
                <w:sz w:val="24"/>
                <w:lang w:eastAsia="zh-HK"/>
              </w:rPr>
              <w:t>The hard copy of a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ll </w:t>
            </w:r>
            <w:r w:rsidR="00D72D3E">
              <w:rPr>
                <w:b w:val="0"/>
                <w:bCs w:val="0"/>
                <w:sz w:val="24"/>
                <w:lang w:eastAsia="zh-HK"/>
              </w:rPr>
              <w:t>files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 required to be Digitally Signed</w:t>
            </w:r>
            <w:r w:rsidR="0089593A">
              <w:rPr>
                <w:b w:val="0"/>
                <w:bCs w:val="0"/>
                <w:sz w:val="24"/>
                <w:lang w:eastAsia="zh-HK"/>
              </w:rPr>
              <w:t xml:space="preserve"> have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 been duly signed</w:t>
            </w:r>
            <w:r w:rsidR="00DE6B2C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D72FB7">
              <w:rPr>
                <w:b w:val="0"/>
                <w:bCs w:val="0"/>
                <w:sz w:val="24"/>
                <w:lang w:eastAsia="zh-HK"/>
              </w:rPr>
              <w:t>and the signature witnessed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 (if required)</w:t>
            </w:r>
            <w:r w:rsidR="00D12C58" w:rsidRPr="00D72FB7">
              <w:rPr>
                <w:b w:val="0"/>
                <w:bCs w:val="0"/>
                <w:sz w:val="24"/>
                <w:lang w:eastAsia="zh-HK"/>
              </w:rPr>
              <w:t xml:space="preserve"> in accordance with GCT 4(</w:t>
            </w:r>
            <w:r w:rsidR="005E200A" w:rsidRPr="00D72FB7">
              <w:rPr>
                <w:b w:val="0"/>
                <w:bCs w:val="0"/>
                <w:sz w:val="24"/>
                <w:lang w:eastAsia="zh-HK"/>
              </w:rPr>
              <w:t>4</w:t>
            </w:r>
            <w:r w:rsidR="00D12C58" w:rsidRPr="00D72FB7">
              <w:rPr>
                <w:b w:val="0"/>
                <w:bCs w:val="0"/>
                <w:sz w:val="24"/>
                <w:lang w:eastAsia="zh-HK"/>
              </w:rPr>
              <w:t>)</w:t>
            </w:r>
            <w:r w:rsidRPr="00D72FB7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033EBC09" w14:textId="1EE076A0" w:rsidR="00361FD4" w:rsidRPr="00C640BC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F77E5">
              <w:rPr>
                <w:b w:val="0"/>
                <w:bCs w:val="0"/>
                <w:sz w:val="24"/>
                <w:lang w:eastAsia="zh-HK"/>
              </w:rPr>
              <w:t>(</w:t>
            </w:r>
            <w:r w:rsidR="00355318">
              <w:rPr>
                <w:b w:val="0"/>
                <w:bCs w:val="0"/>
                <w:sz w:val="24"/>
                <w:lang w:eastAsia="zh-HK"/>
              </w:rPr>
              <w:t>b</w:t>
            </w:r>
            <w:r w:rsidRPr="003F77E5">
              <w:rPr>
                <w:b w:val="0"/>
                <w:bCs w:val="0"/>
                <w:sz w:val="24"/>
                <w:lang w:eastAsia="zh-HK"/>
              </w:rPr>
              <w:t xml:space="preserve">) The envelope or cover holding the tender does not bear the name of the tenderer but the tender reference or contract number and 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the </w:t>
            </w:r>
            <w:r w:rsidR="00587C54" w:rsidRPr="00C640BC">
              <w:rPr>
                <w:b w:val="0"/>
                <w:bCs w:val="0"/>
                <w:sz w:val="24"/>
                <w:lang w:eastAsia="zh-HK"/>
              </w:rPr>
              <w:t xml:space="preserve">tender </w:t>
            </w:r>
            <w:r w:rsidRPr="00C640BC">
              <w:rPr>
                <w:b w:val="0"/>
                <w:bCs w:val="0"/>
                <w:sz w:val="24"/>
                <w:lang w:eastAsia="zh-HK"/>
              </w:rPr>
              <w:t>closing date should be shown on the cover.</w:t>
            </w:r>
          </w:p>
          <w:p w14:paraId="18C061E4" w14:textId="0A5D61DF" w:rsidR="00361FD4" w:rsidRPr="0039338B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C640BC">
              <w:rPr>
                <w:b w:val="0"/>
                <w:bCs w:val="0"/>
                <w:sz w:val="24"/>
                <w:lang w:eastAsia="zh-HK"/>
              </w:rPr>
              <w:t>(</w:t>
            </w:r>
            <w:r w:rsidR="00F628B7" w:rsidRPr="00C640BC">
              <w:rPr>
                <w:b w:val="0"/>
                <w:bCs w:val="0"/>
                <w:sz w:val="24"/>
                <w:lang w:eastAsia="zh-HK"/>
              </w:rPr>
              <w:t>3</w:t>
            </w:r>
            <w:r w:rsidRPr="00C640BC">
              <w:rPr>
                <w:b w:val="0"/>
                <w:bCs w:val="0"/>
                <w:sz w:val="24"/>
                <w:lang w:eastAsia="zh-HK"/>
              </w:rPr>
              <w:t>)</w:t>
            </w:r>
            <w:r w:rsidRPr="00C640BC">
              <w:rPr>
                <w:b w:val="0"/>
                <w:bCs w:val="0"/>
                <w:sz w:val="24"/>
                <w:lang w:eastAsia="zh-HK"/>
              </w:rPr>
              <w:tab/>
            </w:r>
            <w:r w:rsidR="00355318" w:rsidRPr="00C640BC">
              <w:rPr>
                <w:b w:val="0"/>
                <w:bCs w:val="0"/>
                <w:sz w:val="24"/>
                <w:lang w:eastAsia="zh-HK"/>
              </w:rPr>
              <w:t>T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ender that is bulky should be wrapped properly with strong paper which is unlikely to break when the tender is being deposited in the </w:t>
            </w:r>
            <w:r w:rsidR="00726907" w:rsidRPr="00C640BC">
              <w:rPr>
                <w:b w:val="0"/>
                <w:bCs w:val="0"/>
                <w:sz w:val="24"/>
                <w:lang w:eastAsia="zh-HK"/>
              </w:rPr>
              <w:t>tender b</w:t>
            </w:r>
            <w:r w:rsidRPr="00C640BC">
              <w:rPr>
                <w:b w:val="0"/>
                <w:bCs w:val="0"/>
                <w:sz w:val="24"/>
                <w:lang w:eastAsia="zh-HK"/>
              </w:rPr>
              <w:t>ox. The tender with a size exceeding 0.1m² and a thickness of more than 30cm should be separated into smaller parcels, each parcel to be properly labelled</w:t>
            </w:r>
            <w:r w:rsidRPr="0039338B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2DCF20D4" w14:textId="458D843B" w:rsidR="004551D8" w:rsidRDefault="00361FD4" w:rsidP="00286BA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r w:rsidR="00F628B7">
              <w:rPr>
                <w:b w:val="0"/>
                <w:bCs w:val="0"/>
                <w:sz w:val="24"/>
                <w:lang w:eastAsia="zh-HK"/>
              </w:rPr>
              <w:t>4</w:t>
            </w:r>
            <w:r>
              <w:rPr>
                <w:b w:val="0"/>
                <w:bCs w:val="0"/>
                <w:sz w:val="24"/>
                <w:lang w:eastAsia="zh-HK"/>
              </w:rPr>
              <w:t>)</w:t>
            </w:r>
            <w:r>
              <w:rPr>
                <w:b w:val="0"/>
                <w:bCs w:val="0"/>
                <w:sz w:val="24"/>
                <w:lang w:eastAsia="zh-HK"/>
              </w:rPr>
              <w:tab/>
            </w:r>
            <w:r w:rsidRPr="0039338B">
              <w:rPr>
                <w:b w:val="0"/>
                <w:bCs w:val="0"/>
                <w:sz w:val="24"/>
                <w:lang w:eastAsia="zh-HK"/>
              </w:rPr>
              <w:t>Please allow adequa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te time for </w:t>
            </w:r>
            <w:r w:rsidR="00F56633" w:rsidRPr="00C640BC">
              <w:rPr>
                <w:b w:val="0"/>
                <w:bCs w:val="0"/>
                <w:sz w:val="24"/>
                <w:lang w:eastAsia="zh-HK"/>
              </w:rPr>
              <w:t>the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 tender to be delivered to the </w:t>
            </w:r>
            <w:r w:rsidRPr="00C640BC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. </w:t>
            </w:r>
            <w:r w:rsidR="00D47F85" w:rsidRPr="00C640BC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The </w:t>
            </w:r>
            <w:r w:rsidR="00726907" w:rsidRPr="00C640BC">
              <w:rPr>
                <w:b w:val="0"/>
                <w:bCs w:val="0"/>
                <w:sz w:val="24"/>
                <w:lang w:eastAsia="zh-HK"/>
              </w:rPr>
              <w:t>tender b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ox is closed on the tender closing date, which will be a Friday, as soon as the 12:00 noon time signal is broadcast by a local radio channel. </w:t>
            </w:r>
            <w:r w:rsidR="00832C70" w:rsidRPr="00C640BC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="008848EF" w:rsidRPr="00C640BC">
              <w:rPr>
                <w:bCs w:val="0"/>
                <w:sz w:val="24"/>
                <w:u w:val="single"/>
                <w:lang w:eastAsia="zh-HK"/>
              </w:rPr>
              <w:t xml:space="preserve">Late submission will </w:t>
            </w:r>
            <w:r w:rsidR="00F31BC3" w:rsidRPr="00C640BC">
              <w:rPr>
                <w:bCs w:val="0"/>
                <w:sz w:val="24"/>
                <w:u w:val="single"/>
                <w:lang w:eastAsia="zh-HK"/>
              </w:rPr>
              <w:t xml:space="preserve">not </w:t>
            </w:r>
            <w:r w:rsidR="008848EF" w:rsidRPr="00C640BC">
              <w:rPr>
                <w:bCs w:val="0"/>
                <w:sz w:val="24"/>
                <w:u w:val="single"/>
                <w:lang w:eastAsia="zh-HK"/>
              </w:rPr>
              <w:t>be</w:t>
            </w:r>
            <w:r w:rsidR="008848EF" w:rsidRPr="00BE12F0">
              <w:rPr>
                <w:bCs w:val="0"/>
                <w:sz w:val="24"/>
                <w:u w:val="single"/>
                <w:lang w:eastAsia="zh-HK"/>
              </w:rPr>
              <w:t xml:space="preserve"> </w:t>
            </w:r>
            <w:r w:rsidR="00F31BC3">
              <w:rPr>
                <w:bCs w:val="0"/>
                <w:sz w:val="24"/>
                <w:u w:val="single"/>
                <w:lang w:eastAsia="zh-HK"/>
              </w:rPr>
              <w:t>accepted</w:t>
            </w:r>
            <w:r w:rsidR="00286BA4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75894B35" w14:textId="77777777" w:rsidR="00286BA4" w:rsidRPr="005019D0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2"/>
                <w:tab w:val="left" w:pos="955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(5)</w:t>
            </w:r>
            <w:r>
              <w:rPr>
                <w:b w:val="0"/>
                <w:bCs w:val="0"/>
                <w:sz w:val="24"/>
                <w:lang w:eastAsia="zh-HK"/>
              </w:rPr>
              <w:tab/>
              <w:t>The tender closing date may be extended under the following circumstances:-</w:t>
            </w:r>
          </w:p>
          <w:p w14:paraId="3F546BED" w14:textId="0C7EA5FC" w:rsidR="00286BA4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15"/>
                <w:tab w:val="left" w:pos="955"/>
              </w:tabs>
              <w:spacing w:beforeLines="20" w:before="72" w:afterLines="80" w:after="288"/>
              <w:ind w:leftChars="164" w:left="815" w:rightChars="63" w:right="151" w:hangingChars="180" w:hanging="42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lastRenderedPageBreak/>
              <w:t>(a)</w:t>
            </w:r>
            <w:r>
              <w:rPr>
                <w:b w:val="0"/>
                <w:bCs w:val="0"/>
                <w:sz w:val="24"/>
                <w:lang w:eastAsia="zh-HK"/>
              </w:rPr>
              <w:tab/>
              <w:t>If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tropical cyclone signal No. 8 or above or a black rainstorm warning signal </w:t>
            </w:r>
            <w:r>
              <w:rPr>
                <w:b w:val="0"/>
                <w:bCs w:val="0"/>
                <w:sz w:val="24"/>
                <w:lang w:eastAsia="zh-HK"/>
              </w:rPr>
              <w:t xml:space="preserve">is hoisted 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or </w:t>
            </w:r>
            <w:r>
              <w:rPr>
                <w:b w:val="0"/>
                <w:bCs w:val="0"/>
                <w:sz w:val="24"/>
                <w:lang w:eastAsia="zh-HK"/>
              </w:rPr>
              <w:t xml:space="preserve">if </w:t>
            </w:r>
            <w:r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 announced by the Government is in force at any time between 9</w:t>
            </w:r>
            <w:r>
              <w:rPr>
                <w:b w:val="0"/>
                <w:bCs w:val="0"/>
                <w:sz w:val="24"/>
                <w:lang w:eastAsia="zh-HK"/>
              </w:rPr>
              <w:t> </w:t>
            </w:r>
            <w:r w:rsidRPr="00A06511">
              <w:rPr>
                <w:b w:val="0"/>
                <w:bCs w:val="0"/>
                <w:sz w:val="24"/>
                <w:lang w:eastAsia="zh-HK"/>
              </w:rPr>
              <w:t>am and 12 </w:t>
            </w:r>
            <w:r w:rsidRPr="009561C2">
              <w:rPr>
                <w:b w:val="0"/>
                <w:bCs w:val="0"/>
                <w:sz w:val="24"/>
                <w:lang w:eastAsia="zh-HK"/>
              </w:rPr>
              <w:t>noon on the tender closing date</w:t>
            </w:r>
            <w:r w:rsidRPr="00637A76">
              <w:rPr>
                <w:b w:val="0"/>
                <w:bCs w:val="0"/>
                <w:sz w:val="24"/>
                <w:lang w:eastAsia="zh-HK"/>
              </w:rPr>
              <w:t>, the tender closing time will be extended to 12 </w:t>
            </w:r>
            <w:r w:rsidRPr="0078124E">
              <w:rPr>
                <w:b w:val="0"/>
                <w:bCs w:val="0"/>
                <w:sz w:val="24"/>
                <w:lang w:eastAsia="zh-HK"/>
              </w:rPr>
              <w:t xml:space="preserve">noon on the first working day after the 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tropical cyclone signal No. 8 is lowered, or the black rainstorm warning signal or the “extreme conditions after super typhoons” announced by the Government has/have ceased to be in force.  </w:t>
            </w:r>
            <w:r>
              <w:rPr>
                <w:b w:val="0"/>
                <w:bCs w:val="0"/>
                <w:sz w:val="24"/>
                <w:lang w:eastAsia="zh-HK"/>
              </w:rPr>
              <w:t xml:space="preserve">Saturday is not counted as a working day.  The announcements </w:t>
            </w:r>
            <w:r w:rsidR="005250D7">
              <w:rPr>
                <w:b w:val="0"/>
                <w:bCs w:val="0"/>
                <w:sz w:val="24"/>
                <w:lang w:eastAsia="zh-HK"/>
              </w:rPr>
              <w:t xml:space="preserve">on </w:t>
            </w:r>
            <w:r w:rsidR="005250D7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</w:t>
            </w:r>
            <w:r w:rsidR="005250D7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>will be made via</w:t>
            </w:r>
            <w:r w:rsidRPr="00463FD4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B91EAB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B91EAB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hyperlink r:id="rId8" w:history="1">
              <w:r w:rsidRPr="00483C64">
                <w:rPr>
                  <w:rStyle w:val="Hyperlink"/>
                  <w:b w:val="0"/>
                  <w:bCs w:val="0"/>
                  <w:sz w:val="24"/>
                  <w:lang w:val="en-GB"/>
                </w:rPr>
                <w:t>http://www.info.gov.hk/gia/general/today.htm</w:t>
              </w:r>
            </w:hyperlink>
            <w:r w:rsidRPr="00E17580">
              <w:rPr>
                <w:b w:val="0"/>
                <w:bCs w:val="0"/>
                <w:sz w:val="24"/>
                <w:lang w:val="en-GB"/>
              </w:rPr>
              <w:t>)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>.</w:t>
            </w:r>
          </w:p>
          <w:p w14:paraId="32CFBB9A" w14:textId="3B7EA0FE" w:rsidR="004551D8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15"/>
                <w:tab w:val="left" w:pos="955"/>
              </w:tabs>
              <w:spacing w:beforeLines="20" w:before="72" w:afterLines="80" w:after="288"/>
              <w:ind w:leftChars="164" w:left="815" w:rightChars="63" w:right="151" w:hangingChars="180" w:hanging="42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val="en-GB"/>
              </w:rPr>
              <w:t>(b)</w:t>
            </w:r>
            <w:r>
              <w:rPr>
                <w:b w:val="0"/>
                <w:bCs w:val="0"/>
                <w:sz w:val="24"/>
                <w:lang w:val="en-GB"/>
              </w:rPr>
              <w:tab/>
            </w:r>
            <w:r>
              <w:rPr>
                <w:b w:val="0"/>
                <w:bCs w:val="0"/>
                <w:sz w:val="24"/>
                <w:lang w:eastAsia="zh-HK"/>
              </w:rPr>
              <w:t>If there is a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blockage of the public access to the location of the </w:t>
            </w:r>
            <w:r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at an</w:t>
            </w:r>
            <w:r w:rsidRPr="009561C2">
              <w:rPr>
                <w:b w:val="0"/>
                <w:bCs w:val="0"/>
                <w:sz w:val="24"/>
                <w:lang w:eastAsia="zh-HK"/>
              </w:rPr>
              <w:t>y time between 9</w:t>
            </w:r>
            <w:r>
              <w:rPr>
                <w:b w:val="0"/>
                <w:bCs w:val="0"/>
                <w:sz w:val="24"/>
                <w:lang w:eastAsia="zh-HK"/>
              </w:rPr>
              <w:t> am and 12 </w:t>
            </w:r>
            <w:r w:rsidRPr="009561C2">
              <w:rPr>
                <w:b w:val="0"/>
                <w:bCs w:val="0"/>
                <w:sz w:val="24"/>
                <w:lang w:eastAsia="zh-HK"/>
              </w:rPr>
              <w:t>noon on the tender closing date, t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he Government will announce extension of the tender closing date </w:t>
            </w:r>
            <w:r>
              <w:rPr>
                <w:b w:val="0"/>
                <w:bCs w:val="0"/>
                <w:sz w:val="24"/>
                <w:lang w:eastAsia="zh-HK"/>
              </w:rPr>
              <w:t>and time until further notice.  Following removal of the blockage, the Government will announce the extended tender closing date and time as soon as practicable.  The announcements will be made</w:t>
            </w:r>
            <w:r w:rsidRPr="00B94D19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B91EAB">
              <w:rPr>
                <w:b w:val="0"/>
                <w:bCs w:val="0"/>
                <w:sz w:val="24"/>
                <w:lang w:eastAsia="zh-HK"/>
              </w:rPr>
              <w:t xml:space="preserve">via </w:t>
            </w:r>
            <w:r w:rsidRPr="00B91EAB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B91EAB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6211BD">
              <w:rPr>
                <w:rStyle w:val="Hyperlink"/>
                <w:b w:val="0"/>
                <w:bCs w:val="0"/>
                <w:sz w:val="24"/>
                <w:lang w:val="en-GB"/>
              </w:rPr>
              <w:t>http://www.info.gov.hk/gia/general/today.htm</w:t>
            </w:r>
            <w:r w:rsidRPr="006211BD">
              <w:rPr>
                <w:b w:val="0"/>
                <w:bCs w:val="0"/>
                <w:sz w:val="24"/>
                <w:lang w:val="en-GB"/>
              </w:rPr>
              <w:t>)</w:t>
            </w:r>
            <w:r>
              <w:rPr>
                <w:b w:val="0"/>
                <w:bCs w:val="0"/>
                <w:sz w:val="24"/>
                <w:lang w:val="en-GB"/>
              </w:rPr>
              <w:t xml:space="preserve">; </w:t>
            </w:r>
            <w:r>
              <w:rPr>
                <w:b w:val="0"/>
                <w:bCs w:val="0"/>
                <w:sz w:val="24"/>
                <w:lang w:eastAsia="zh-HK"/>
              </w:rPr>
              <w:t>or</w:t>
            </w:r>
          </w:p>
          <w:p w14:paraId="03F315A8" w14:textId="5F527FCA" w:rsidR="00286BA4" w:rsidRPr="00286BA4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15"/>
                <w:tab w:val="left" w:pos="955"/>
              </w:tabs>
              <w:spacing w:beforeLines="20" w:before="72" w:afterLines="80" w:after="288"/>
              <w:ind w:leftChars="164" w:left="815" w:rightChars="63" w:right="151" w:hangingChars="180" w:hanging="42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(c)</w:t>
            </w:r>
            <w:r>
              <w:rPr>
                <w:b w:val="0"/>
                <w:bCs w:val="0"/>
                <w:sz w:val="24"/>
                <w:lang w:eastAsia="zh-HK"/>
              </w:rPr>
              <w:tab/>
              <w:t>If there is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 xml:space="preserve">any other reason which in the Government’s view shall affect the close of tender, </w:t>
            </w:r>
            <w:r w:rsidRPr="009561C2">
              <w:rPr>
                <w:b w:val="0"/>
                <w:bCs w:val="0"/>
                <w:sz w:val="24"/>
                <w:lang w:eastAsia="zh-HK"/>
              </w:rPr>
              <w:t>t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he Government will </w:t>
            </w:r>
            <w:r w:rsidRPr="005019D0">
              <w:rPr>
                <w:b w:val="0"/>
                <w:bCs w:val="0"/>
                <w:sz w:val="24"/>
                <w:lang w:eastAsia="zh-HK"/>
              </w:rPr>
              <w:t>notify tender</w:t>
            </w:r>
            <w:r>
              <w:rPr>
                <w:b w:val="0"/>
                <w:bCs w:val="0"/>
                <w:sz w:val="24"/>
                <w:lang w:eastAsia="zh-HK"/>
              </w:rPr>
              <w:t>er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s of the extension </w:t>
            </w:r>
            <w:r>
              <w:rPr>
                <w:b w:val="0"/>
                <w:bCs w:val="0"/>
                <w:sz w:val="24"/>
                <w:lang w:eastAsia="zh-HK"/>
              </w:rPr>
              <w:t>in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 tender closing date and time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 xml:space="preserve">via </w:t>
            </w:r>
            <w:r>
              <w:rPr>
                <w:bCs w:val="0"/>
                <w:sz w:val="24"/>
                <w:u w:val="single"/>
                <w:lang w:eastAsia="zh-HK"/>
              </w:rPr>
              <w:lastRenderedPageBreak/>
              <w:t xml:space="preserve">the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>e-TS(WC) and/or emails</w:t>
            </w:r>
            <w:r w:rsidRPr="005019D0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456ECB81" w14:textId="3399EFA4" w:rsidR="00361FD4" w:rsidRDefault="00361FD4" w:rsidP="00286BA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r w:rsidR="00F628B7">
              <w:rPr>
                <w:b w:val="0"/>
                <w:bCs w:val="0"/>
                <w:sz w:val="24"/>
                <w:lang w:eastAsia="zh-HK"/>
              </w:rPr>
              <w:t>5</w:t>
            </w:r>
            <w:r>
              <w:rPr>
                <w:b w:val="0"/>
                <w:bCs w:val="0"/>
                <w:sz w:val="24"/>
                <w:lang w:eastAsia="zh-HK"/>
              </w:rPr>
              <w:t>)</w:t>
            </w:r>
            <w:r>
              <w:rPr>
                <w:b w:val="0"/>
                <w:bCs w:val="0"/>
                <w:sz w:val="24"/>
                <w:lang w:eastAsia="zh-HK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>t</w:t>
            </w:r>
            <w:r w:rsidRPr="0039338B">
              <w:rPr>
                <w:b w:val="0"/>
                <w:bCs w:val="0"/>
                <w:sz w:val="24"/>
              </w:rPr>
              <w:t>enderer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may rest assured that no person is allowed access to the tender that ha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been deposited in the </w:t>
            </w:r>
            <w:r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</w:t>
            </w:r>
            <w:r w:rsidRPr="00C640BC">
              <w:rPr>
                <w:b w:val="0"/>
                <w:bCs w:val="0"/>
                <w:color w:val="0000FF"/>
                <w:sz w:val="24"/>
                <w:lang w:eastAsia="zh-HK"/>
              </w:rPr>
              <w:t>cretariat Tender Box / *Public Works Tender Box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 until after the </w:t>
            </w:r>
            <w:r w:rsidR="00726907" w:rsidRPr="00C640BC">
              <w:rPr>
                <w:b w:val="0"/>
                <w:bCs w:val="0"/>
                <w:sz w:val="24"/>
                <w:lang w:eastAsia="zh-HK"/>
              </w:rPr>
              <w:t xml:space="preserve">tender </w:t>
            </w:r>
            <w:r w:rsidRPr="00C640BC">
              <w:rPr>
                <w:b w:val="0"/>
                <w:bCs w:val="0"/>
                <w:sz w:val="24"/>
                <w:lang w:eastAsia="zh-HK"/>
              </w:rPr>
              <w:t>closing time when they will be removed by authorized person</w:t>
            </w:r>
            <w:r w:rsidRPr="0039338B">
              <w:rPr>
                <w:b w:val="0"/>
                <w:bCs w:val="0"/>
                <w:sz w:val="24"/>
                <w:lang w:eastAsia="zh-HK"/>
              </w:rPr>
              <w:t>nel.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4681E05D" w14:textId="00D251A3" w:rsidR="00066BCF" w:rsidRPr="00D12C58" w:rsidRDefault="00066BCF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Cs w:val="0"/>
                <w:color w:val="0000FF"/>
                <w:sz w:val="24"/>
                <w:lang w:eastAsia="zh-HK"/>
              </w:rPr>
            </w:pPr>
            <w:r w:rsidRPr="00D12C58">
              <w:rPr>
                <w:bCs w:val="0"/>
                <w:color w:val="0000FF"/>
                <w:sz w:val="24"/>
                <w:lang w:eastAsia="zh-HK"/>
              </w:rPr>
              <w:lastRenderedPageBreak/>
              <w:t>Interim measure allowing the tenderer to submit optional hard copy</w:t>
            </w:r>
            <w:r w:rsidR="00E54EC2" w:rsidRPr="00E54EC2">
              <w:rPr>
                <w:bCs w:val="0"/>
                <w:color w:val="0000FF"/>
                <w:sz w:val="24"/>
                <w:lang w:eastAsia="zh-HK"/>
              </w:rPr>
              <w:t>, applicable to all tenders until further notice.</w:t>
            </w:r>
          </w:p>
          <w:p w14:paraId="7F893B14" w14:textId="77777777" w:rsidR="00066BCF" w:rsidRPr="00750074" w:rsidRDefault="00066BCF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4EAC72AA" w14:textId="77777777" w:rsidR="00361FD4" w:rsidRPr="00892F13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Delete </w:t>
            </w:r>
            <w:r w:rsidRPr="00892F13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appropriate.</w:t>
            </w:r>
          </w:p>
          <w:p w14:paraId="48B7BC19" w14:textId="77777777" w:rsidR="00361FD4" w:rsidRPr="00892F13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="0089439B">
              <w:rPr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="0023231F">
              <w:rPr>
                <w:b w:val="0"/>
                <w:bCs w:val="0"/>
                <w:color w:val="0000FF"/>
                <w:sz w:val="24"/>
                <w:lang w:eastAsia="zh-HK"/>
              </w:rPr>
              <w:t>U</w:t>
            </w: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pdate the figure</w:t>
            </w:r>
            <w:r w:rsidR="0023231F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 </w:t>
            </w: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appropriate.</w:t>
            </w:r>
          </w:p>
          <w:p w14:paraId="4BB7EAD7" w14:textId="2D1E7549" w:rsidR="00361FD4" w:rsidRDefault="00C817B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bookmarkStart w:id="0" w:name="_GoBack"/>
            <w:bookmarkEnd w:id="0"/>
            <w:r w:rsidR="00361FD4"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 w:rsidR="00361FD4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361FD4">
              <w:rPr>
                <w:b w:val="0"/>
                <w:bCs w:val="0"/>
                <w:sz w:val="24"/>
              </w:rPr>
              <w:t>Appendix</w:t>
            </w:r>
            <w:r w:rsidR="00361FD4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361FD4">
              <w:rPr>
                <w:b w:val="0"/>
                <w:bCs w:val="0"/>
                <w:sz w:val="24"/>
              </w:rPr>
              <w:t>5.</w:t>
            </w:r>
            <w:r w:rsidR="00361FD4">
              <w:rPr>
                <w:rFonts w:hint="eastAsia"/>
                <w:b w:val="0"/>
                <w:bCs w:val="0"/>
                <w:sz w:val="24"/>
              </w:rPr>
              <w:t>8</w:t>
            </w:r>
            <w:r w:rsidR="00361FD4">
              <w:rPr>
                <w:b w:val="0"/>
                <w:bCs w:val="0"/>
                <w:sz w:val="24"/>
              </w:rPr>
              <w:t xml:space="preserve"> </w:t>
            </w:r>
            <w:r w:rsidR="003D6A3B">
              <w:rPr>
                <w:rFonts w:hint="eastAsia"/>
                <w:b w:val="0"/>
                <w:bCs w:val="0"/>
                <w:sz w:val="24"/>
                <w:lang w:eastAsia="zh-HK"/>
              </w:rPr>
              <w:t>of Chapter </w:t>
            </w:r>
            <w:r w:rsidR="00361FD4"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5 </w:t>
            </w:r>
            <w:r w:rsidR="00361FD4">
              <w:rPr>
                <w:b w:val="0"/>
                <w:bCs w:val="0"/>
                <w:sz w:val="24"/>
              </w:rPr>
              <w:t>of the P</w:t>
            </w:r>
            <w:r w:rsidR="00361FD4">
              <w:rPr>
                <w:rFonts w:hint="eastAsia"/>
                <w:b w:val="0"/>
                <w:bCs w:val="0"/>
                <w:sz w:val="24"/>
              </w:rPr>
              <w:t>roject Administration Handbook</w:t>
            </w:r>
            <w:r w:rsidR="00361FD4">
              <w:rPr>
                <w:b w:val="0"/>
                <w:bCs w:val="0"/>
                <w:sz w:val="24"/>
              </w:rPr>
              <w:t>).</w:t>
            </w:r>
          </w:p>
          <w:p w14:paraId="69B91930" w14:textId="77777777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7D083388" w14:textId="77777777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3EADD43A" w14:textId="77777777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2DB39D99" w14:textId="77777777" w:rsidR="00DC2C8C" w:rsidRPr="00507BA4" w:rsidRDefault="00DC2C8C" w:rsidP="00507BA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14:paraId="6311D962" w14:textId="77777777" w:rsidR="00A24422" w:rsidRPr="00361FD4" w:rsidRDefault="00A24422" w:rsidP="00427391">
      <w:pPr>
        <w:spacing w:line="288" w:lineRule="auto"/>
        <w:ind w:left="360" w:right="28"/>
        <w:jc w:val="both"/>
      </w:pPr>
    </w:p>
    <w:sectPr w:rsidR="00A24422" w:rsidRPr="00361FD4" w:rsidSect="00361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247" w:bottom="1276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78B7" w14:textId="77777777" w:rsidR="00756A9E" w:rsidRDefault="00756A9E" w:rsidP="00A24422">
      <w:pPr>
        <w:pStyle w:val="EndnoteText"/>
      </w:pPr>
      <w:r>
        <w:separator/>
      </w:r>
    </w:p>
  </w:endnote>
  <w:endnote w:type="continuationSeparator" w:id="0">
    <w:p w14:paraId="0B61ED08" w14:textId="77777777" w:rsidR="00756A9E" w:rsidRDefault="00756A9E" w:rsidP="00A24422">
      <w:pPr>
        <w:pStyle w:val="EndnoteText"/>
      </w:pPr>
      <w:r>
        <w:continuationSeparator/>
      </w:r>
    </w:p>
  </w:endnote>
  <w:endnote w:type="continuationNotice" w:id="1">
    <w:p w14:paraId="0E3F233E" w14:textId="77777777" w:rsidR="00756A9E" w:rsidRDefault="00756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華康細明體"/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B812" w14:textId="77777777" w:rsidR="00310037" w:rsidRDefault="00310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6B6D" w14:textId="77777777" w:rsidR="007B27DD" w:rsidRPr="00BC5387" w:rsidRDefault="007B27DD" w:rsidP="007B27DD">
    <w:pPr>
      <w:pStyle w:val="Footer"/>
      <w:pBdr>
        <w:bottom w:val="single" w:sz="12" w:space="1" w:color="auto"/>
      </w:pBdr>
    </w:pPr>
  </w:p>
  <w:p w14:paraId="1B3A8091" w14:textId="77777777" w:rsidR="0029211E" w:rsidRPr="00BC5387" w:rsidRDefault="0029211E" w:rsidP="0029211E">
    <w:pPr>
      <w:pStyle w:val="Footer"/>
      <w:pBdr>
        <w:bottom w:val="single" w:sz="12" w:space="1" w:color="auto"/>
      </w:pBdr>
    </w:pPr>
  </w:p>
  <w:p w14:paraId="2E62FCD7" w14:textId="77777777" w:rsidR="0029211E" w:rsidRPr="00BC5387" w:rsidRDefault="0029211E" w:rsidP="0029211E">
    <w:pPr>
      <w:pStyle w:val="Footer"/>
      <w:tabs>
        <w:tab w:val="clear" w:pos="8306"/>
        <w:tab w:val="right" w:pos="8789"/>
      </w:tabs>
    </w:pPr>
  </w:p>
  <w:p w14:paraId="163A011E" w14:textId="693AF63B" w:rsidR="00462E23" w:rsidRPr="00BE4767" w:rsidRDefault="0029211E" w:rsidP="00BE4767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310037">
      <w:rPr>
        <w:b/>
        <w:bCs/>
        <w:iCs/>
        <w:lang w:eastAsia="zh-HK"/>
      </w:rPr>
      <w:t>TS</w:t>
    </w:r>
    <w:r w:rsidRPr="00903208">
      <w:rPr>
        <w:b/>
        <w:bCs/>
        <w:iCs/>
        <w:lang w:eastAsia="zh-HK"/>
      </w:rPr>
      <w:t>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</w:t>
    </w:r>
    <w:r w:rsidR="00310037">
      <w:rPr>
        <w:b/>
        <w:bCs/>
        <w:iCs/>
      </w:rPr>
      <w:t>0</w:t>
    </w:r>
    <w:r>
      <w:rPr>
        <w:b/>
        <w:bCs/>
        <w:iCs/>
      </w:rPr>
      <w:t>2.</w:t>
    </w:r>
    <w:r w:rsidRPr="00903208">
      <w:rPr>
        <w:b/>
        <w:bCs/>
        <w:iCs/>
        <w:lang w:eastAsia="zh-HK"/>
      </w:rPr>
      <w:t>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A6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C817B4">
      <w:rPr>
        <w:b/>
        <w:bCs/>
        <w:iCs/>
        <w:noProof/>
      </w:rPr>
      <w:t>2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C817B4">
      <w:rPr>
        <w:b/>
        <w:bCs/>
        <w:iCs/>
        <w:noProof/>
      </w:rPr>
      <w:t>3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9C50" w14:textId="77777777" w:rsidR="00310037" w:rsidRDefault="0031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8B20" w14:textId="77777777" w:rsidR="00756A9E" w:rsidRDefault="00756A9E" w:rsidP="00A24422">
      <w:pPr>
        <w:pStyle w:val="EndnoteText"/>
      </w:pPr>
      <w:r>
        <w:separator/>
      </w:r>
    </w:p>
  </w:footnote>
  <w:footnote w:type="continuationSeparator" w:id="0">
    <w:p w14:paraId="6150ECBB" w14:textId="77777777" w:rsidR="00756A9E" w:rsidRDefault="00756A9E" w:rsidP="00A24422">
      <w:pPr>
        <w:pStyle w:val="EndnoteText"/>
      </w:pPr>
      <w:r>
        <w:continuationSeparator/>
      </w:r>
    </w:p>
  </w:footnote>
  <w:footnote w:type="continuationNotice" w:id="1">
    <w:p w14:paraId="4891A22F" w14:textId="77777777" w:rsidR="00756A9E" w:rsidRDefault="00756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3E33" w14:textId="77777777" w:rsidR="00310037" w:rsidRDefault="00310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75E5" w14:textId="77777777" w:rsidR="00427391" w:rsidRDefault="008E5326" w:rsidP="00427391">
    <w:pPr>
      <w:pStyle w:val="Header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B309E3E" w14:textId="77777777" w:rsidR="00403AFE" w:rsidRDefault="00403AFE" w:rsidP="00403AF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3D751" w14:textId="77777777" w:rsidR="00310037" w:rsidRDefault="00310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BodyText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EF1142"/>
    <w:multiLevelType w:val="hybridMultilevel"/>
    <w:tmpl w:val="B6543206"/>
    <w:lvl w:ilvl="0" w:tplc="304E70E0">
      <w:start w:val="1"/>
      <w:numFmt w:val="decimal"/>
      <w:lvlText w:val="(%1)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6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0BEA"/>
    <w:rsid w:val="0003302C"/>
    <w:rsid w:val="00033A8D"/>
    <w:rsid w:val="0004172B"/>
    <w:rsid w:val="00054FD5"/>
    <w:rsid w:val="0006112A"/>
    <w:rsid w:val="00064FAB"/>
    <w:rsid w:val="00066BCF"/>
    <w:rsid w:val="00067F20"/>
    <w:rsid w:val="00070107"/>
    <w:rsid w:val="000727BF"/>
    <w:rsid w:val="00074E49"/>
    <w:rsid w:val="0008076D"/>
    <w:rsid w:val="000814D4"/>
    <w:rsid w:val="00084F85"/>
    <w:rsid w:val="000858FA"/>
    <w:rsid w:val="00094434"/>
    <w:rsid w:val="000945B5"/>
    <w:rsid w:val="000A1BFB"/>
    <w:rsid w:val="000A2B49"/>
    <w:rsid w:val="000A2B7E"/>
    <w:rsid w:val="000C6058"/>
    <w:rsid w:val="000C7676"/>
    <w:rsid w:val="000D28CE"/>
    <w:rsid w:val="000D2B42"/>
    <w:rsid w:val="000D3556"/>
    <w:rsid w:val="000D3FED"/>
    <w:rsid w:val="000D74B4"/>
    <w:rsid w:val="000E10E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04F7"/>
    <w:rsid w:val="00165AF8"/>
    <w:rsid w:val="00170897"/>
    <w:rsid w:val="00174B13"/>
    <w:rsid w:val="00177350"/>
    <w:rsid w:val="00184A45"/>
    <w:rsid w:val="001866A6"/>
    <w:rsid w:val="00190A28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1F37D3"/>
    <w:rsid w:val="001F5707"/>
    <w:rsid w:val="00200537"/>
    <w:rsid w:val="00201796"/>
    <w:rsid w:val="00202558"/>
    <w:rsid w:val="00210D07"/>
    <w:rsid w:val="00212504"/>
    <w:rsid w:val="00215E43"/>
    <w:rsid w:val="00221BA4"/>
    <w:rsid w:val="00221DE0"/>
    <w:rsid w:val="0022383F"/>
    <w:rsid w:val="00224574"/>
    <w:rsid w:val="00224D8C"/>
    <w:rsid w:val="002303E3"/>
    <w:rsid w:val="0023231F"/>
    <w:rsid w:val="0023606F"/>
    <w:rsid w:val="00236213"/>
    <w:rsid w:val="00246FC8"/>
    <w:rsid w:val="00251549"/>
    <w:rsid w:val="00252812"/>
    <w:rsid w:val="00260CF5"/>
    <w:rsid w:val="00267486"/>
    <w:rsid w:val="00267B8D"/>
    <w:rsid w:val="00273F6A"/>
    <w:rsid w:val="002804C9"/>
    <w:rsid w:val="0028225E"/>
    <w:rsid w:val="00286BA4"/>
    <w:rsid w:val="0029030A"/>
    <w:rsid w:val="00290312"/>
    <w:rsid w:val="0029211E"/>
    <w:rsid w:val="00295D84"/>
    <w:rsid w:val="00297CF7"/>
    <w:rsid w:val="002A307A"/>
    <w:rsid w:val="002A5615"/>
    <w:rsid w:val="002B3D0B"/>
    <w:rsid w:val="002B5BC8"/>
    <w:rsid w:val="002B5DFD"/>
    <w:rsid w:val="002C2498"/>
    <w:rsid w:val="002C4B64"/>
    <w:rsid w:val="002D11B7"/>
    <w:rsid w:val="002D41EA"/>
    <w:rsid w:val="002E7F43"/>
    <w:rsid w:val="002F2D0F"/>
    <w:rsid w:val="002F6CC5"/>
    <w:rsid w:val="00301B88"/>
    <w:rsid w:val="003022D9"/>
    <w:rsid w:val="00304108"/>
    <w:rsid w:val="00310037"/>
    <w:rsid w:val="0032131C"/>
    <w:rsid w:val="00322C35"/>
    <w:rsid w:val="00322C73"/>
    <w:rsid w:val="00325C39"/>
    <w:rsid w:val="00333AC0"/>
    <w:rsid w:val="00336829"/>
    <w:rsid w:val="00343673"/>
    <w:rsid w:val="00344540"/>
    <w:rsid w:val="00345925"/>
    <w:rsid w:val="00345984"/>
    <w:rsid w:val="00346743"/>
    <w:rsid w:val="00347AB5"/>
    <w:rsid w:val="00350B24"/>
    <w:rsid w:val="00354A28"/>
    <w:rsid w:val="00355318"/>
    <w:rsid w:val="003616BF"/>
    <w:rsid w:val="00361FD4"/>
    <w:rsid w:val="003655D1"/>
    <w:rsid w:val="003723FE"/>
    <w:rsid w:val="0037370A"/>
    <w:rsid w:val="00375931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6A3B"/>
    <w:rsid w:val="003D7E2B"/>
    <w:rsid w:val="003E1D16"/>
    <w:rsid w:val="003E336A"/>
    <w:rsid w:val="003E6362"/>
    <w:rsid w:val="003F3F2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51D8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03AC"/>
    <w:rsid w:val="00491CB8"/>
    <w:rsid w:val="00495080"/>
    <w:rsid w:val="004A0777"/>
    <w:rsid w:val="004A0CDC"/>
    <w:rsid w:val="004A13A7"/>
    <w:rsid w:val="004A1B23"/>
    <w:rsid w:val="004A283D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0C12"/>
    <w:rsid w:val="004E3F43"/>
    <w:rsid w:val="004E6531"/>
    <w:rsid w:val="004F04CD"/>
    <w:rsid w:val="004F15FA"/>
    <w:rsid w:val="004F5E1E"/>
    <w:rsid w:val="004F72F1"/>
    <w:rsid w:val="0050305E"/>
    <w:rsid w:val="005067C3"/>
    <w:rsid w:val="00507BA4"/>
    <w:rsid w:val="00510891"/>
    <w:rsid w:val="00511920"/>
    <w:rsid w:val="005129D7"/>
    <w:rsid w:val="00517E98"/>
    <w:rsid w:val="005250D7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87C54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200A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17CCA"/>
    <w:rsid w:val="006211BD"/>
    <w:rsid w:val="00621D1F"/>
    <w:rsid w:val="006240FF"/>
    <w:rsid w:val="00626235"/>
    <w:rsid w:val="0062794B"/>
    <w:rsid w:val="00632D46"/>
    <w:rsid w:val="0064014C"/>
    <w:rsid w:val="00640CC2"/>
    <w:rsid w:val="006425D8"/>
    <w:rsid w:val="0064302A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1324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25F6"/>
    <w:rsid w:val="006B35E7"/>
    <w:rsid w:val="006B7325"/>
    <w:rsid w:val="006C4C1B"/>
    <w:rsid w:val="006C55FF"/>
    <w:rsid w:val="006D3BCE"/>
    <w:rsid w:val="006E420A"/>
    <w:rsid w:val="006E5244"/>
    <w:rsid w:val="006F6F36"/>
    <w:rsid w:val="006F70BB"/>
    <w:rsid w:val="00715C52"/>
    <w:rsid w:val="00720747"/>
    <w:rsid w:val="00726505"/>
    <w:rsid w:val="00726907"/>
    <w:rsid w:val="0072736A"/>
    <w:rsid w:val="007278B4"/>
    <w:rsid w:val="00730EE3"/>
    <w:rsid w:val="00741239"/>
    <w:rsid w:val="00742FD3"/>
    <w:rsid w:val="00750074"/>
    <w:rsid w:val="00751C3A"/>
    <w:rsid w:val="00752EFE"/>
    <w:rsid w:val="00756A9E"/>
    <w:rsid w:val="007606EF"/>
    <w:rsid w:val="00761DC2"/>
    <w:rsid w:val="0076254F"/>
    <w:rsid w:val="007639B1"/>
    <w:rsid w:val="00765FC8"/>
    <w:rsid w:val="0076658E"/>
    <w:rsid w:val="00770C2B"/>
    <w:rsid w:val="00782AEA"/>
    <w:rsid w:val="00783127"/>
    <w:rsid w:val="00786B6A"/>
    <w:rsid w:val="00790503"/>
    <w:rsid w:val="00794932"/>
    <w:rsid w:val="007A794E"/>
    <w:rsid w:val="007B27DD"/>
    <w:rsid w:val="007B2AEE"/>
    <w:rsid w:val="007B2ED9"/>
    <w:rsid w:val="007B4404"/>
    <w:rsid w:val="007B4BE0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6928"/>
    <w:rsid w:val="00810CAB"/>
    <w:rsid w:val="008177E0"/>
    <w:rsid w:val="00820936"/>
    <w:rsid w:val="00822BE8"/>
    <w:rsid w:val="0082443E"/>
    <w:rsid w:val="008266D5"/>
    <w:rsid w:val="00826F16"/>
    <w:rsid w:val="0083027A"/>
    <w:rsid w:val="00832C70"/>
    <w:rsid w:val="0083718C"/>
    <w:rsid w:val="00842615"/>
    <w:rsid w:val="00847322"/>
    <w:rsid w:val="00851188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8EF"/>
    <w:rsid w:val="0088729E"/>
    <w:rsid w:val="00892F13"/>
    <w:rsid w:val="0089439B"/>
    <w:rsid w:val="00895589"/>
    <w:rsid w:val="0089593A"/>
    <w:rsid w:val="00896E6F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1D11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D7B"/>
    <w:rsid w:val="00975FAA"/>
    <w:rsid w:val="00977CC7"/>
    <w:rsid w:val="009810D0"/>
    <w:rsid w:val="00987B59"/>
    <w:rsid w:val="00990990"/>
    <w:rsid w:val="0099483B"/>
    <w:rsid w:val="00996970"/>
    <w:rsid w:val="009A0914"/>
    <w:rsid w:val="009A27FA"/>
    <w:rsid w:val="009A3516"/>
    <w:rsid w:val="009A666D"/>
    <w:rsid w:val="009A72DC"/>
    <w:rsid w:val="009A7850"/>
    <w:rsid w:val="009B6BBC"/>
    <w:rsid w:val="009B7A95"/>
    <w:rsid w:val="009C28FE"/>
    <w:rsid w:val="009C42E8"/>
    <w:rsid w:val="009C4DFF"/>
    <w:rsid w:val="009C73CE"/>
    <w:rsid w:val="009C74BB"/>
    <w:rsid w:val="009D00F2"/>
    <w:rsid w:val="009D39F2"/>
    <w:rsid w:val="009D5AC9"/>
    <w:rsid w:val="009E33F1"/>
    <w:rsid w:val="009F0A7C"/>
    <w:rsid w:val="009F34F9"/>
    <w:rsid w:val="009F4A55"/>
    <w:rsid w:val="00A016A1"/>
    <w:rsid w:val="00A0625D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3B56"/>
    <w:rsid w:val="00A54EEF"/>
    <w:rsid w:val="00A56E71"/>
    <w:rsid w:val="00A67709"/>
    <w:rsid w:val="00A76E92"/>
    <w:rsid w:val="00A82A3F"/>
    <w:rsid w:val="00A83BE2"/>
    <w:rsid w:val="00A8418A"/>
    <w:rsid w:val="00A84D96"/>
    <w:rsid w:val="00A8539D"/>
    <w:rsid w:val="00A9388A"/>
    <w:rsid w:val="00AB0032"/>
    <w:rsid w:val="00AB1AED"/>
    <w:rsid w:val="00AB316A"/>
    <w:rsid w:val="00AB6EA5"/>
    <w:rsid w:val="00AC39B6"/>
    <w:rsid w:val="00AC51FB"/>
    <w:rsid w:val="00AC5EA2"/>
    <w:rsid w:val="00AD39E3"/>
    <w:rsid w:val="00AD4BD8"/>
    <w:rsid w:val="00AD706E"/>
    <w:rsid w:val="00AE0087"/>
    <w:rsid w:val="00AE028E"/>
    <w:rsid w:val="00AE2E27"/>
    <w:rsid w:val="00AF176C"/>
    <w:rsid w:val="00AF4ABB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09F1"/>
    <w:rsid w:val="00B70681"/>
    <w:rsid w:val="00B7091D"/>
    <w:rsid w:val="00B74857"/>
    <w:rsid w:val="00B77BBE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4A08"/>
    <w:rsid w:val="00BD57BA"/>
    <w:rsid w:val="00BD6BE3"/>
    <w:rsid w:val="00BD6D23"/>
    <w:rsid w:val="00BE12F0"/>
    <w:rsid w:val="00BE2620"/>
    <w:rsid w:val="00BE29C0"/>
    <w:rsid w:val="00BE3AA2"/>
    <w:rsid w:val="00BE4767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310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0BC"/>
    <w:rsid w:val="00C642EB"/>
    <w:rsid w:val="00C732FB"/>
    <w:rsid w:val="00C73596"/>
    <w:rsid w:val="00C817B4"/>
    <w:rsid w:val="00C84959"/>
    <w:rsid w:val="00C90D0B"/>
    <w:rsid w:val="00C94A8C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09C"/>
    <w:rsid w:val="00CE5FCC"/>
    <w:rsid w:val="00CE6D7D"/>
    <w:rsid w:val="00CF0A33"/>
    <w:rsid w:val="00CF1CD4"/>
    <w:rsid w:val="00CF2E5C"/>
    <w:rsid w:val="00CF6E34"/>
    <w:rsid w:val="00D01647"/>
    <w:rsid w:val="00D04A96"/>
    <w:rsid w:val="00D11A1A"/>
    <w:rsid w:val="00D12865"/>
    <w:rsid w:val="00D12C58"/>
    <w:rsid w:val="00D137CC"/>
    <w:rsid w:val="00D1407C"/>
    <w:rsid w:val="00D2315F"/>
    <w:rsid w:val="00D279DA"/>
    <w:rsid w:val="00D44D97"/>
    <w:rsid w:val="00D451A6"/>
    <w:rsid w:val="00D47BA5"/>
    <w:rsid w:val="00D47F85"/>
    <w:rsid w:val="00D50120"/>
    <w:rsid w:val="00D52BAA"/>
    <w:rsid w:val="00D55C99"/>
    <w:rsid w:val="00D57F53"/>
    <w:rsid w:val="00D65F46"/>
    <w:rsid w:val="00D70F6D"/>
    <w:rsid w:val="00D72D3E"/>
    <w:rsid w:val="00D72FB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534"/>
    <w:rsid w:val="00DB46B2"/>
    <w:rsid w:val="00DB703A"/>
    <w:rsid w:val="00DB7C84"/>
    <w:rsid w:val="00DC1E8C"/>
    <w:rsid w:val="00DC2C8C"/>
    <w:rsid w:val="00DC304F"/>
    <w:rsid w:val="00DC4F50"/>
    <w:rsid w:val="00DD1294"/>
    <w:rsid w:val="00DD1751"/>
    <w:rsid w:val="00DD2EE7"/>
    <w:rsid w:val="00DD3D97"/>
    <w:rsid w:val="00DE1019"/>
    <w:rsid w:val="00DE2579"/>
    <w:rsid w:val="00DE6B2C"/>
    <w:rsid w:val="00DE7241"/>
    <w:rsid w:val="00DF0501"/>
    <w:rsid w:val="00DF5F80"/>
    <w:rsid w:val="00E0072C"/>
    <w:rsid w:val="00E02521"/>
    <w:rsid w:val="00E02869"/>
    <w:rsid w:val="00E034A8"/>
    <w:rsid w:val="00E04F0D"/>
    <w:rsid w:val="00E10000"/>
    <w:rsid w:val="00E10E15"/>
    <w:rsid w:val="00E12810"/>
    <w:rsid w:val="00E172EC"/>
    <w:rsid w:val="00E20C5A"/>
    <w:rsid w:val="00E2296B"/>
    <w:rsid w:val="00E2511D"/>
    <w:rsid w:val="00E2596B"/>
    <w:rsid w:val="00E34F71"/>
    <w:rsid w:val="00E35493"/>
    <w:rsid w:val="00E3676A"/>
    <w:rsid w:val="00E37809"/>
    <w:rsid w:val="00E4022E"/>
    <w:rsid w:val="00E41A91"/>
    <w:rsid w:val="00E47C73"/>
    <w:rsid w:val="00E54EC2"/>
    <w:rsid w:val="00E55650"/>
    <w:rsid w:val="00E55E07"/>
    <w:rsid w:val="00E55FD9"/>
    <w:rsid w:val="00E6058E"/>
    <w:rsid w:val="00E6253A"/>
    <w:rsid w:val="00E63024"/>
    <w:rsid w:val="00E70FFE"/>
    <w:rsid w:val="00E76E52"/>
    <w:rsid w:val="00E84A65"/>
    <w:rsid w:val="00EA2488"/>
    <w:rsid w:val="00EB0D8C"/>
    <w:rsid w:val="00EB2795"/>
    <w:rsid w:val="00EB2F23"/>
    <w:rsid w:val="00EB4D8F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1BC3"/>
    <w:rsid w:val="00F341DF"/>
    <w:rsid w:val="00F368D5"/>
    <w:rsid w:val="00F51723"/>
    <w:rsid w:val="00F56633"/>
    <w:rsid w:val="00F5686B"/>
    <w:rsid w:val="00F57F81"/>
    <w:rsid w:val="00F628B7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4C3F9"/>
  <w15:chartTrackingRefBased/>
  <w15:docId w15:val="{9C06179A-871B-4A52-81D4-D7DBE704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BodyText">
    <w:name w:val="Body Text"/>
    <w:basedOn w:val="Normal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2">
    <w:name w:val="Body Text 2"/>
    <w:basedOn w:val="Normal"/>
    <w:pPr>
      <w:tabs>
        <w:tab w:val="left" w:pos="1260"/>
      </w:tabs>
      <w:jc w:val="both"/>
    </w:pPr>
    <w:rPr>
      <w:bCs/>
      <w:sz w:val="28"/>
    </w:rPr>
  </w:style>
  <w:style w:type="paragraph" w:styleId="FootnoteText">
    <w:name w:val="foot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itle">
    <w:name w:val="Title"/>
    <w:basedOn w:val="Normal"/>
    <w:link w:val="TitleChar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Subtitle">
    <w:name w:val="Subtitle"/>
    <w:basedOn w:val="Normal"/>
    <w:qFormat/>
    <w:rPr>
      <w:sz w:val="28"/>
      <w:u w:val="single"/>
    </w:rPr>
  </w:style>
  <w:style w:type="paragraph" w:styleId="BodyTextIndent">
    <w:name w:val="Body Text Indent"/>
    <w:basedOn w:val="Normal"/>
    <w:pPr>
      <w:spacing w:before="240"/>
      <w:ind w:leftChars="675" w:left="1620"/>
    </w:pPr>
  </w:style>
  <w:style w:type="paragraph" w:styleId="BodyTextIndent2">
    <w:name w:val="Body Text Indent 2"/>
    <w:basedOn w:val="Normal"/>
    <w:pPr>
      <w:suppressAutoHyphens/>
      <w:ind w:left="720" w:hanging="720"/>
      <w:jc w:val="both"/>
    </w:pPr>
    <w:rPr>
      <w:color w:val="000000"/>
      <w:spacing w:val="-3"/>
    </w:rPr>
  </w:style>
  <w:style w:type="paragraph" w:styleId="BodyTextIndent3">
    <w:name w:val="Body Text Indent 3"/>
    <w:basedOn w:val="Normal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NormalIndent">
    <w:name w:val="Normal Indent"/>
    <w:basedOn w:val="Normal"/>
    <w:pPr>
      <w:ind w:left="480"/>
    </w:pPr>
    <w:rPr>
      <w:szCs w:val="20"/>
    </w:rPr>
  </w:style>
  <w:style w:type="paragraph" w:customStyle="1" w:styleId="BodyTextKeep">
    <w:name w:val="Body Text Keep"/>
    <w:basedOn w:val="BodyText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EndnoteText">
    <w:name w:val="end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00BB6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03AFE"/>
    <w:rPr>
      <w:sz w:val="24"/>
      <w:lang w:val="en-GB"/>
    </w:rPr>
  </w:style>
  <w:style w:type="character" w:customStyle="1" w:styleId="TitleChar">
    <w:name w:val="Title Char"/>
    <w:link w:val="Title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FooterChar">
    <w:name w:val="Footer Char"/>
    <w:link w:val="Footer"/>
    <w:rsid w:val="00975D7B"/>
    <w:rPr>
      <w:kern w:val="2"/>
    </w:rPr>
  </w:style>
  <w:style w:type="character" w:styleId="Hyperlink">
    <w:name w:val="Hyperlink"/>
    <w:basedOn w:val="DefaultParagraphFont"/>
    <w:rsid w:val="00455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gov.hk/gia/general/today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0B0D-6A5B-4221-BF03-7028A9B1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612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Henry KW LAM</cp:lastModifiedBy>
  <cp:revision>10</cp:revision>
  <cp:lastPrinted>2020-08-04T10:12:00Z</cp:lastPrinted>
  <dcterms:created xsi:type="dcterms:W3CDTF">2025-12-12T09:55:00Z</dcterms:created>
  <dcterms:modified xsi:type="dcterms:W3CDTF">2026-03-13T08:04:00Z</dcterms:modified>
</cp:coreProperties>
</file>