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4F1" w:rsidRDefault="00B93296" w:rsidP="003414F1">
      <w:pPr>
        <w:jc w:val="center"/>
        <w:rPr>
          <w:rFonts w:ascii="Times New Roman" w:hAnsi="Times New Roman" w:cs="Times New Roman"/>
          <w:b/>
          <w:sz w:val="26"/>
          <w:szCs w:val="26"/>
        </w:rPr>
      </w:pPr>
      <w:r w:rsidRPr="00B93296">
        <w:rPr>
          <w:rFonts w:ascii="Times New Roman" w:hAnsi="Times New Roman" w:cs="Times New Roman" w:hint="eastAsia"/>
          <w:b/>
          <w:sz w:val="26"/>
          <w:szCs w:val="26"/>
        </w:rPr>
        <w:t>Construction Industry Security of Payment Ordinance</w:t>
      </w:r>
    </w:p>
    <w:p w:rsidR="006C6D69" w:rsidRPr="00B93296" w:rsidRDefault="00B93296" w:rsidP="003414F1">
      <w:pPr>
        <w:jc w:val="center"/>
        <w:rPr>
          <w:rFonts w:ascii="Times New Roman" w:hAnsi="Times New Roman" w:cs="Times New Roman"/>
          <w:b/>
          <w:sz w:val="26"/>
          <w:szCs w:val="26"/>
          <w:u w:val="single"/>
        </w:rPr>
      </w:pPr>
      <w:r>
        <w:rPr>
          <w:rFonts w:ascii="Times New Roman" w:hAnsi="Times New Roman" w:cs="Times New Roman"/>
          <w:b/>
          <w:sz w:val="26"/>
          <w:szCs w:val="26"/>
          <w:u w:val="single"/>
        </w:rPr>
        <w:t xml:space="preserve">DEVB’s </w:t>
      </w:r>
      <w:r w:rsidRPr="00B93296">
        <w:rPr>
          <w:rFonts w:ascii="Times New Roman" w:hAnsi="Times New Roman" w:cs="Times New Roman" w:hint="eastAsia"/>
          <w:b/>
          <w:sz w:val="26"/>
          <w:szCs w:val="26"/>
          <w:u w:val="single"/>
        </w:rPr>
        <w:t>Guideline on Conflicts of Interest in Adjudication</w:t>
      </w:r>
    </w:p>
    <w:p w:rsidR="00B93296" w:rsidRPr="00B93296" w:rsidRDefault="00B93296" w:rsidP="00D82BBE">
      <w:pPr>
        <w:jc w:val="both"/>
        <w:rPr>
          <w:rFonts w:ascii="Times New Roman" w:hAnsi="Times New Roman" w:cs="Times New Roman"/>
          <w:sz w:val="26"/>
          <w:szCs w:val="26"/>
        </w:rPr>
      </w:pPr>
    </w:p>
    <w:p w:rsidR="00B93296" w:rsidRPr="00B93296" w:rsidRDefault="00B93296" w:rsidP="00D82BBE">
      <w:pPr>
        <w:jc w:val="both"/>
        <w:rPr>
          <w:rFonts w:ascii="Times New Roman" w:hAnsi="Times New Roman" w:cs="Times New Roman"/>
          <w:b/>
          <w:sz w:val="26"/>
          <w:szCs w:val="26"/>
        </w:rPr>
      </w:pPr>
      <w:r w:rsidRPr="00B93296">
        <w:rPr>
          <w:rFonts w:ascii="Times New Roman" w:hAnsi="Times New Roman" w:cs="Times New Roman" w:hint="eastAsia"/>
          <w:b/>
          <w:sz w:val="26"/>
          <w:szCs w:val="26"/>
        </w:rPr>
        <w:t>Foreword</w:t>
      </w:r>
    </w:p>
    <w:p w:rsidR="002B02F9" w:rsidRDefault="002B02F9" w:rsidP="00D82BBE">
      <w:pPr>
        <w:jc w:val="both"/>
        <w:rPr>
          <w:rFonts w:ascii="Times New Roman" w:hAnsi="Times New Roman" w:cs="Times New Roman"/>
          <w:sz w:val="26"/>
          <w:szCs w:val="26"/>
        </w:rPr>
      </w:pPr>
    </w:p>
    <w:p w:rsidR="00B93296" w:rsidRDefault="00B93296" w:rsidP="00D82BBE">
      <w:pPr>
        <w:jc w:val="both"/>
        <w:rPr>
          <w:rFonts w:ascii="Times New Roman" w:hAnsi="Times New Roman" w:cs="Times New Roman"/>
          <w:sz w:val="26"/>
          <w:szCs w:val="26"/>
        </w:rPr>
      </w:pPr>
      <w:r w:rsidRPr="00B93296">
        <w:rPr>
          <w:rFonts w:ascii="Times New Roman" w:hAnsi="Times New Roman" w:cs="Times New Roman"/>
          <w:sz w:val="26"/>
          <w:szCs w:val="26"/>
        </w:rPr>
        <w:t>The Construction Industry Security of Payment Ordinance</w:t>
      </w:r>
      <w:r w:rsidR="008E2596">
        <w:rPr>
          <w:rFonts w:ascii="Times New Roman" w:hAnsi="Times New Roman" w:cs="Times New Roman"/>
          <w:sz w:val="26"/>
          <w:szCs w:val="26"/>
        </w:rPr>
        <w:t xml:space="preserve"> (</w:t>
      </w:r>
      <w:r w:rsidR="00455C1A">
        <w:rPr>
          <w:rFonts w:ascii="Times New Roman" w:hAnsi="Times New Roman" w:cs="Times New Roman"/>
          <w:sz w:val="26"/>
          <w:szCs w:val="26"/>
        </w:rPr>
        <w:t>Chapter</w:t>
      </w:r>
      <w:r w:rsidR="008E2596">
        <w:rPr>
          <w:rFonts w:ascii="Times New Roman" w:hAnsi="Times New Roman" w:cs="Times New Roman"/>
          <w:sz w:val="26"/>
          <w:szCs w:val="26"/>
        </w:rPr>
        <w:t xml:space="preserve"> 652</w:t>
      </w:r>
      <w:r w:rsidR="00455C1A" w:rsidRPr="003414F1">
        <w:rPr>
          <w:rFonts w:ascii="Times New Roman" w:hAnsi="Times New Roman" w:cs="Times New Roman"/>
          <w:sz w:val="26"/>
          <w:szCs w:val="26"/>
        </w:rPr>
        <w:t xml:space="preserve"> of the Laws of Hong Kong</w:t>
      </w:r>
      <w:r w:rsidR="008E2596">
        <w:rPr>
          <w:rFonts w:ascii="Times New Roman" w:hAnsi="Times New Roman" w:cs="Times New Roman"/>
          <w:sz w:val="26"/>
          <w:szCs w:val="26"/>
        </w:rPr>
        <w:t xml:space="preserve">) </w:t>
      </w:r>
      <w:r w:rsidRPr="00B93296">
        <w:rPr>
          <w:rFonts w:ascii="Times New Roman" w:hAnsi="Times New Roman" w:cs="Times New Roman"/>
          <w:sz w:val="26"/>
          <w:szCs w:val="26"/>
        </w:rPr>
        <w:t>(</w:t>
      </w:r>
      <w:r w:rsidR="00D82BBE">
        <w:rPr>
          <w:rFonts w:ascii="Times New Roman" w:hAnsi="Times New Roman" w:cs="Times New Roman"/>
          <w:sz w:val="26"/>
          <w:szCs w:val="26"/>
        </w:rPr>
        <w:t xml:space="preserve">the </w:t>
      </w:r>
      <w:r>
        <w:rPr>
          <w:rFonts w:ascii="Times New Roman" w:hAnsi="Times New Roman" w:cs="Times New Roman"/>
          <w:sz w:val="26"/>
          <w:szCs w:val="26"/>
        </w:rPr>
        <w:t>“</w:t>
      </w:r>
      <w:r w:rsidRPr="00B93296">
        <w:rPr>
          <w:rFonts w:ascii="Times New Roman" w:hAnsi="Times New Roman" w:cs="Times New Roman"/>
          <w:b/>
          <w:sz w:val="26"/>
          <w:szCs w:val="26"/>
        </w:rPr>
        <w:t>Ordinance</w:t>
      </w:r>
      <w:r w:rsidRPr="00B93296">
        <w:rPr>
          <w:rFonts w:ascii="Times New Roman" w:hAnsi="Times New Roman" w:cs="Times New Roman"/>
          <w:sz w:val="26"/>
          <w:szCs w:val="26"/>
        </w:rPr>
        <w:t xml:space="preserve">”) aims to improve the payment </w:t>
      </w:r>
      <w:r w:rsidRPr="00B93296">
        <w:rPr>
          <w:rFonts w:ascii="Times New Roman" w:hAnsi="Times New Roman" w:cs="Times New Roman"/>
          <w:sz w:val="26"/>
          <w:szCs w:val="26"/>
        </w:rPr>
        <w:t>practices in the construction industry, and to provide a mechanism for speedy resolution of payment disputes through adjudication proceedings, with a view to improving the cash flow problems encountered by stakeholders along the construction supply chain.  When payment dispute arises, a claiming party may initiate adjudication by serving an adjudication notice on the paying party and an adjudicator nominating body, who will nominate and appoint an adjudicator to determine the payment dispute.</w:t>
      </w:r>
    </w:p>
    <w:p w:rsidR="00B93296" w:rsidRPr="00B93296" w:rsidRDefault="00B93296" w:rsidP="00D82BBE">
      <w:pPr>
        <w:jc w:val="both"/>
        <w:rPr>
          <w:rFonts w:ascii="Times New Roman" w:hAnsi="Times New Roman" w:cs="Times New Roman"/>
          <w:sz w:val="26"/>
          <w:szCs w:val="26"/>
        </w:rPr>
      </w:pPr>
    </w:p>
    <w:p w:rsidR="008E2596" w:rsidRDefault="00B93296" w:rsidP="00D82BBE">
      <w:pPr>
        <w:jc w:val="both"/>
        <w:rPr>
          <w:rFonts w:ascii="Times New Roman" w:hAnsi="Times New Roman" w:cs="Times New Roman"/>
          <w:sz w:val="26"/>
          <w:szCs w:val="26"/>
        </w:rPr>
      </w:pPr>
      <w:r w:rsidRPr="00B93296">
        <w:rPr>
          <w:rFonts w:ascii="Times New Roman" w:hAnsi="Times New Roman" w:cs="Times New Roman"/>
          <w:sz w:val="26"/>
          <w:szCs w:val="26"/>
        </w:rPr>
        <w:t xml:space="preserve">Pursuant to </w:t>
      </w:r>
      <w:r w:rsidR="008E2596">
        <w:rPr>
          <w:rFonts w:ascii="Times New Roman" w:hAnsi="Times New Roman" w:cs="Times New Roman"/>
          <w:sz w:val="26"/>
          <w:szCs w:val="26"/>
        </w:rPr>
        <w:t xml:space="preserve">section 28 of </w:t>
      </w:r>
      <w:r w:rsidRPr="00B93296">
        <w:rPr>
          <w:rFonts w:ascii="Times New Roman" w:hAnsi="Times New Roman" w:cs="Times New Roman"/>
          <w:sz w:val="26"/>
          <w:szCs w:val="26"/>
        </w:rPr>
        <w:t xml:space="preserve">the Ordinance, an individual is ineligible to act as an adjudicator in relation to a payment dispute if the individual has a conflict of interest or circumstances </w:t>
      </w:r>
      <w:r w:rsidR="001473BD">
        <w:rPr>
          <w:rFonts w:ascii="Times New Roman" w:hAnsi="Times New Roman" w:cs="Times New Roman"/>
          <w:sz w:val="26"/>
          <w:szCs w:val="26"/>
        </w:rPr>
        <w:t xml:space="preserve">exist </w:t>
      </w:r>
      <w:r w:rsidRPr="00B93296">
        <w:rPr>
          <w:rFonts w:ascii="Times New Roman" w:hAnsi="Times New Roman" w:cs="Times New Roman"/>
          <w:sz w:val="26"/>
          <w:szCs w:val="26"/>
        </w:rPr>
        <w:t xml:space="preserve">that give rise to justifiable doubts as to the individual’s independence or impartiality. </w:t>
      </w:r>
      <w:r w:rsidR="00D82BBE">
        <w:rPr>
          <w:rFonts w:ascii="Times New Roman" w:hAnsi="Times New Roman" w:cs="Times New Roman"/>
          <w:sz w:val="26"/>
          <w:szCs w:val="26"/>
        </w:rPr>
        <w:t xml:space="preserve"> </w:t>
      </w:r>
      <w:r w:rsidRPr="00B93296">
        <w:rPr>
          <w:rFonts w:ascii="Times New Roman" w:hAnsi="Times New Roman" w:cs="Times New Roman"/>
          <w:sz w:val="26"/>
          <w:szCs w:val="26"/>
        </w:rPr>
        <w:t xml:space="preserve">Further, adjudicators have obligation under </w:t>
      </w:r>
      <w:r w:rsidR="008E2596">
        <w:rPr>
          <w:rFonts w:ascii="Times New Roman" w:hAnsi="Times New Roman" w:cs="Times New Roman"/>
          <w:sz w:val="26"/>
          <w:szCs w:val="26"/>
        </w:rPr>
        <w:t xml:space="preserve">section 29 of </w:t>
      </w:r>
      <w:r w:rsidRPr="00B93296">
        <w:rPr>
          <w:rFonts w:ascii="Times New Roman" w:hAnsi="Times New Roman" w:cs="Times New Roman"/>
          <w:sz w:val="26"/>
          <w:szCs w:val="26"/>
        </w:rPr>
        <w:t xml:space="preserve">the Ordinance to </w:t>
      </w:r>
      <w:r w:rsidR="008E2596">
        <w:rPr>
          <w:rFonts w:ascii="Times New Roman" w:hAnsi="Times New Roman" w:cs="Times New Roman"/>
          <w:sz w:val="26"/>
          <w:szCs w:val="26"/>
        </w:rPr>
        <w:t>declare and disclose any conflict of interest and</w:t>
      </w:r>
      <w:r w:rsidRPr="00B93296">
        <w:rPr>
          <w:rFonts w:ascii="Times New Roman" w:hAnsi="Times New Roman" w:cs="Times New Roman"/>
          <w:sz w:val="26"/>
          <w:szCs w:val="26"/>
        </w:rPr>
        <w:t xml:space="preserve"> any circumstances likely to give rise to justifiable doubts as to the individual’s independence or impartiality before appointment and during </w:t>
      </w:r>
      <w:r w:rsidR="008E2596">
        <w:rPr>
          <w:rFonts w:ascii="Times New Roman" w:hAnsi="Times New Roman" w:cs="Times New Roman"/>
          <w:sz w:val="26"/>
          <w:szCs w:val="26"/>
        </w:rPr>
        <w:t xml:space="preserve">the </w:t>
      </w:r>
      <w:r w:rsidRPr="00B93296">
        <w:rPr>
          <w:rFonts w:ascii="Times New Roman" w:hAnsi="Times New Roman" w:cs="Times New Roman"/>
          <w:sz w:val="26"/>
          <w:szCs w:val="26"/>
        </w:rPr>
        <w:t xml:space="preserve">adjudication proceedings. </w:t>
      </w:r>
    </w:p>
    <w:p w:rsidR="008E2596" w:rsidRDefault="008E2596" w:rsidP="00D82BBE">
      <w:pPr>
        <w:jc w:val="both"/>
        <w:rPr>
          <w:rFonts w:ascii="Times New Roman" w:hAnsi="Times New Roman" w:cs="Times New Roman"/>
          <w:sz w:val="26"/>
          <w:szCs w:val="26"/>
        </w:rPr>
      </w:pPr>
    </w:p>
    <w:p w:rsidR="008E2596" w:rsidRDefault="00B93296" w:rsidP="00D82BBE">
      <w:pPr>
        <w:widowControl/>
        <w:jc w:val="both"/>
        <w:rPr>
          <w:rFonts w:ascii="Times New Roman" w:hAnsi="Times New Roman" w:cs="Times New Roman"/>
          <w:b/>
          <w:sz w:val="26"/>
          <w:szCs w:val="26"/>
        </w:rPr>
      </w:pPr>
      <w:r w:rsidRPr="00B93296">
        <w:rPr>
          <w:rFonts w:ascii="Times New Roman" w:hAnsi="Times New Roman" w:cs="Times New Roman"/>
          <w:sz w:val="26"/>
          <w:szCs w:val="26"/>
        </w:rPr>
        <w:t xml:space="preserve">As agreed in the Task Force for the Construction Industry Security of Payment </w:t>
      </w:r>
      <w:r w:rsidRPr="00B93296">
        <w:rPr>
          <w:rFonts w:ascii="Times New Roman" w:hAnsi="Times New Roman" w:cs="Times New Roman"/>
          <w:sz w:val="26"/>
          <w:szCs w:val="26"/>
        </w:rPr>
        <w:t xml:space="preserve">Ordinance, which comprises various stakeholders along the construction industry supply chain in Hong Kong, </w:t>
      </w:r>
      <w:r w:rsidR="00C66A1B" w:rsidRPr="003414F1">
        <w:rPr>
          <w:rFonts w:ascii="Times New Roman" w:hAnsi="Times New Roman" w:cs="Times New Roman"/>
          <w:sz w:val="26"/>
          <w:szCs w:val="26"/>
        </w:rPr>
        <w:t>the International Bar Association</w:t>
      </w:r>
      <w:r w:rsidR="00FE71AD" w:rsidRPr="003414F1">
        <w:rPr>
          <w:rFonts w:ascii="Times New Roman" w:hAnsi="Times New Roman" w:cs="Times New Roman"/>
          <w:sz w:val="26"/>
          <w:szCs w:val="26"/>
        </w:rPr>
        <w:t xml:space="preserve"> </w:t>
      </w:r>
      <w:r w:rsidR="00C66A1B" w:rsidRPr="003414F1">
        <w:rPr>
          <w:rFonts w:ascii="Times New Roman" w:hAnsi="Times New Roman" w:cs="Times New Roman"/>
          <w:sz w:val="26"/>
          <w:szCs w:val="26"/>
        </w:rPr>
        <w:t>“IBA Guidelines on Conflicts of Interest in International Arbitration” (2024 Edition) (“</w:t>
      </w:r>
      <w:r w:rsidR="00C66A1B" w:rsidRPr="003414F1">
        <w:rPr>
          <w:rFonts w:ascii="Times New Roman" w:hAnsi="Times New Roman" w:cs="Times New Roman"/>
          <w:b/>
          <w:sz w:val="26"/>
          <w:szCs w:val="26"/>
        </w:rPr>
        <w:t>IBA Guidelines</w:t>
      </w:r>
      <w:r w:rsidR="00C66A1B" w:rsidRPr="003414F1">
        <w:rPr>
          <w:rFonts w:ascii="Times New Roman" w:hAnsi="Times New Roman" w:cs="Times New Roman"/>
          <w:sz w:val="26"/>
          <w:szCs w:val="26"/>
        </w:rPr>
        <w:t xml:space="preserve">”) shall be </w:t>
      </w:r>
      <w:r w:rsidR="00EE7CC6" w:rsidRPr="003414F1">
        <w:rPr>
          <w:rFonts w:ascii="Times New Roman" w:hAnsi="Times New Roman" w:cs="Times New Roman"/>
          <w:sz w:val="26"/>
          <w:szCs w:val="26"/>
        </w:rPr>
        <w:t>followed</w:t>
      </w:r>
      <w:r w:rsidR="00C66A1B" w:rsidRPr="003414F1">
        <w:rPr>
          <w:rFonts w:ascii="Times New Roman" w:hAnsi="Times New Roman" w:cs="Times New Roman"/>
          <w:sz w:val="26"/>
          <w:szCs w:val="26"/>
        </w:rPr>
        <w:t xml:space="preserve"> by </w:t>
      </w:r>
      <w:r w:rsidR="00FE71AD" w:rsidRPr="003414F1">
        <w:rPr>
          <w:rFonts w:ascii="Times New Roman" w:hAnsi="Times New Roman" w:cs="Times New Roman"/>
          <w:sz w:val="26"/>
          <w:szCs w:val="26"/>
        </w:rPr>
        <w:t xml:space="preserve">adjudicator nominating bodies </w:t>
      </w:r>
      <w:r w:rsidR="00C66A1B" w:rsidRPr="003414F1">
        <w:rPr>
          <w:rFonts w:ascii="Times New Roman" w:hAnsi="Times New Roman" w:cs="Times New Roman"/>
          <w:sz w:val="26"/>
          <w:szCs w:val="26"/>
        </w:rPr>
        <w:t>and adjudicators in performing the requirements under sections 28 and 29 of the Ordinance, with certain exceptions to suit the Ordinance’s requirements and the local construction industry practices</w:t>
      </w:r>
      <w:r w:rsidR="00C66A1B" w:rsidRPr="00FE71AD">
        <w:rPr>
          <w:rFonts w:ascii="Times New Roman" w:hAnsi="Times New Roman" w:cs="Times New Roman"/>
          <w:sz w:val="26"/>
          <w:szCs w:val="26"/>
        </w:rPr>
        <w:t>.</w:t>
      </w:r>
    </w:p>
    <w:p w:rsidR="00D82BBE" w:rsidRDefault="00D82BBE" w:rsidP="00D82BBE">
      <w:pPr>
        <w:widowControl/>
        <w:jc w:val="both"/>
        <w:rPr>
          <w:rFonts w:ascii="Times New Roman" w:hAnsi="Times New Roman" w:cs="Times New Roman"/>
          <w:b/>
          <w:sz w:val="26"/>
          <w:szCs w:val="26"/>
        </w:rPr>
      </w:pPr>
      <w:r>
        <w:rPr>
          <w:rFonts w:ascii="Times New Roman" w:hAnsi="Times New Roman" w:cs="Times New Roman"/>
          <w:b/>
          <w:sz w:val="26"/>
          <w:szCs w:val="26"/>
        </w:rPr>
        <w:br w:type="page"/>
      </w:r>
    </w:p>
    <w:p w:rsidR="00B93296" w:rsidRDefault="00B93296" w:rsidP="00D82BBE">
      <w:pPr>
        <w:jc w:val="both"/>
        <w:rPr>
          <w:rFonts w:ascii="Times New Roman" w:hAnsi="Times New Roman" w:cs="Times New Roman"/>
          <w:b/>
          <w:sz w:val="26"/>
          <w:szCs w:val="26"/>
        </w:rPr>
      </w:pPr>
      <w:r w:rsidRPr="00B93296">
        <w:rPr>
          <w:rFonts w:ascii="Times New Roman" w:hAnsi="Times New Roman" w:cs="Times New Roman" w:hint="eastAsia"/>
          <w:b/>
          <w:sz w:val="26"/>
          <w:szCs w:val="26"/>
        </w:rPr>
        <w:lastRenderedPageBreak/>
        <w:t>Glossary</w:t>
      </w:r>
    </w:p>
    <w:p w:rsidR="002B02F9" w:rsidRPr="002B02F9" w:rsidRDefault="002B02F9" w:rsidP="00D82BBE">
      <w:pPr>
        <w:jc w:val="both"/>
        <w:rPr>
          <w:rFonts w:ascii="Times New Roman" w:hAnsi="Times New Roman" w:cs="Times New Roman"/>
          <w:sz w:val="26"/>
          <w:szCs w:val="26"/>
        </w:rPr>
      </w:pPr>
    </w:p>
    <w:tbl>
      <w:tblPr>
        <w:tblStyle w:val="a7"/>
        <w:tblW w:w="0" w:type="auto"/>
        <w:tblLook w:val="04A0" w:firstRow="1" w:lastRow="0" w:firstColumn="1" w:lastColumn="0" w:noHBand="0" w:noVBand="1"/>
      </w:tblPr>
      <w:tblGrid>
        <w:gridCol w:w="1980"/>
        <w:gridCol w:w="6316"/>
      </w:tblGrid>
      <w:tr w:rsidR="00970818" w:rsidTr="0068036A">
        <w:tc>
          <w:tcPr>
            <w:tcW w:w="1980" w:type="dxa"/>
            <w:shd w:val="clear" w:color="auto" w:fill="D9D9D9" w:themeFill="background1" w:themeFillShade="D9"/>
          </w:tcPr>
          <w:p w:rsidR="00970818" w:rsidRPr="00970818" w:rsidRDefault="00970818" w:rsidP="00D82BBE">
            <w:pPr>
              <w:jc w:val="both"/>
              <w:rPr>
                <w:rFonts w:ascii="Times New Roman" w:hAnsi="Times New Roman" w:cs="Times New Roman"/>
                <w:b/>
                <w:sz w:val="26"/>
                <w:szCs w:val="26"/>
              </w:rPr>
            </w:pPr>
            <w:r w:rsidRPr="00970818">
              <w:rPr>
                <w:rFonts w:ascii="Times New Roman" w:hAnsi="Times New Roman" w:cs="Times New Roman" w:hint="eastAsia"/>
                <w:b/>
                <w:sz w:val="26"/>
                <w:szCs w:val="26"/>
              </w:rPr>
              <w:t>Term</w:t>
            </w:r>
          </w:p>
        </w:tc>
        <w:tc>
          <w:tcPr>
            <w:tcW w:w="6316" w:type="dxa"/>
            <w:shd w:val="clear" w:color="auto" w:fill="D9D9D9" w:themeFill="background1" w:themeFillShade="D9"/>
          </w:tcPr>
          <w:p w:rsidR="00970818" w:rsidRPr="00970818" w:rsidRDefault="00970818" w:rsidP="00D82BBE">
            <w:pPr>
              <w:jc w:val="both"/>
              <w:rPr>
                <w:rFonts w:ascii="Times New Roman" w:hAnsi="Times New Roman" w:cs="Times New Roman"/>
                <w:b/>
                <w:sz w:val="26"/>
                <w:szCs w:val="26"/>
              </w:rPr>
            </w:pPr>
            <w:r w:rsidRPr="00970818">
              <w:rPr>
                <w:rFonts w:ascii="Times New Roman" w:hAnsi="Times New Roman" w:cs="Times New Roman" w:hint="eastAsia"/>
                <w:b/>
                <w:sz w:val="26"/>
                <w:szCs w:val="26"/>
              </w:rPr>
              <w:t>Definition</w:t>
            </w:r>
          </w:p>
        </w:tc>
      </w:tr>
      <w:tr w:rsidR="00970818" w:rsidTr="00970818">
        <w:tc>
          <w:tcPr>
            <w:tcW w:w="1980" w:type="dxa"/>
          </w:tcPr>
          <w:p w:rsidR="00970818" w:rsidRDefault="00970818" w:rsidP="00D82BBE">
            <w:pPr>
              <w:jc w:val="both"/>
              <w:rPr>
                <w:rFonts w:ascii="Times New Roman" w:hAnsi="Times New Roman" w:cs="Times New Roman"/>
                <w:sz w:val="26"/>
                <w:szCs w:val="26"/>
              </w:rPr>
            </w:pPr>
            <w:r w:rsidRPr="00970818">
              <w:rPr>
                <w:rFonts w:ascii="Times New Roman" w:hAnsi="Times New Roman" w:cs="Times New Roman"/>
                <w:sz w:val="26"/>
                <w:szCs w:val="26"/>
              </w:rPr>
              <w:t>adjudicator nominating body (ANB)</w:t>
            </w:r>
          </w:p>
        </w:tc>
        <w:tc>
          <w:tcPr>
            <w:tcW w:w="6316" w:type="dxa"/>
          </w:tcPr>
          <w:p w:rsidR="00970818" w:rsidRDefault="00970818" w:rsidP="00D82BBE">
            <w:pPr>
              <w:jc w:val="both"/>
              <w:rPr>
                <w:rFonts w:ascii="Times New Roman" w:hAnsi="Times New Roman" w:cs="Times New Roman"/>
                <w:sz w:val="26"/>
                <w:szCs w:val="26"/>
              </w:rPr>
            </w:pPr>
            <w:r w:rsidRPr="00970818">
              <w:rPr>
                <w:rFonts w:ascii="Times New Roman" w:hAnsi="Times New Roman" w:cs="Times New Roman"/>
                <w:sz w:val="26"/>
                <w:szCs w:val="26"/>
              </w:rPr>
              <w:t>means a nominating body under the Ordinance which has been agreed and selected by the parties to nominate and appoint an adjudicator to determine a payment dispute</w:t>
            </w:r>
          </w:p>
          <w:p w:rsidR="00970818" w:rsidRDefault="00970818" w:rsidP="00D82BBE">
            <w:pPr>
              <w:jc w:val="both"/>
              <w:rPr>
                <w:rFonts w:ascii="Times New Roman" w:hAnsi="Times New Roman" w:cs="Times New Roman"/>
                <w:sz w:val="26"/>
                <w:szCs w:val="26"/>
              </w:rPr>
            </w:pPr>
          </w:p>
        </w:tc>
      </w:tr>
      <w:tr w:rsidR="00970818" w:rsidTr="00970818">
        <w:tc>
          <w:tcPr>
            <w:tcW w:w="1980" w:type="dxa"/>
          </w:tcPr>
          <w:p w:rsidR="00970818" w:rsidRDefault="00970818" w:rsidP="00D82BBE">
            <w:pPr>
              <w:jc w:val="both"/>
              <w:rPr>
                <w:rFonts w:ascii="Times New Roman" w:hAnsi="Times New Roman" w:cs="Times New Roman"/>
                <w:sz w:val="26"/>
                <w:szCs w:val="26"/>
              </w:rPr>
            </w:pPr>
            <w:r>
              <w:rPr>
                <w:rFonts w:ascii="Times New Roman" w:hAnsi="Times New Roman" w:cs="Times New Roman"/>
                <w:sz w:val="26"/>
                <w:szCs w:val="26"/>
              </w:rPr>
              <w:t>a</w:t>
            </w:r>
            <w:r w:rsidRPr="00970818">
              <w:rPr>
                <w:rFonts w:ascii="Times New Roman" w:hAnsi="Times New Roman" w:cs="Times New Roman"/>
                <w:sz w:val="26"/>
                <w:szCs w:val="26"/>
              </w:rPr>
              <w:t>djudicator</w:t>
            </w:r>
          </w:p>
        </w:tc>
        <w:tc>
          <w:tcPr>
            <w:tcW w:w="6316" w:type="dxa"/>
          </w:tcPr>
          <w:p w:rsidR="00970818" w:rsidRDefault="00970818" w:rsidP="00D82BBE">
            <w:pPr>
              <w:jc w:val="both"/>
              <w:rPr>
                <w:rFonts w:ascii="Times New Roman" w:hAnsi="Times New Roman" w:cs="Times New Roman"/>
                <w:sz w:val="26"/>
                <w:szCs w:val="26"/>
              </w:rPr>
            </w:pPr>
            <w:r w:rsidRPr="00970818">
              <w:rPr>
                <w:rFonts w:ascii="Times New Roman" w:hAnsi="Times New Roman" w:cs="Times New Roman"/>
                <w:sz w:val="26"/>
                <w:szCs w:val="26"/>
              </w:rPr>
              <w:t>mea</w:t>
            </w:r>
            <w:r w:rsidRPr="00970818">
              <w:rPr>
                <w:rFonts w:ascii="Times New Roman" w:hAnsi="Times New Roman" w:cs="Times New Roman"/>
                <w:sz w:val="26"/>
                <w:szCs w:val="26"/>
              </w:rPr>
              <w:t xml:space="preserve">ns the individual who is </w:t>
            </w:r>
            <w:r w:rsidR="00FE71AD">
              <w:rPr>
                <w:rFonts w:ascii="Times New Roman" w:hAnsi="Times New Roman" w:cs="Times New Roman"/>
                <w:sz w:val="26"/>
                <w:szCs w:val="26"/>
              </w:rPr>
              <w:t xml:space="preserve">appointed </w:t>
            </w:r>
            <w:r w:rsidRPr="00970818">
              <w:rPr>
                <w:rFonts w:ascii="Times New Roman" w:hAnsi="Times New Roman" w:cs="Times New Roman"/>
                <w:sz w:val="26"/>
                <w:szCs w:val="26"/>
              </w:rPr>
              <w:t>or is be</w:t>
            </w:r>
            <w:r w:rsidR="00FE71AD">
              <w:rPr>
                <w:rFonts w:ascii="Times New Roman" w:hAnsi="Times New Roman" w:cs="Times New Roman"/>
                <w:sz w:val="26"/>
                <w:szCs w:val="26"/>
              </w:rPr>
              <w:t>ing considered by an ANB to be</w:t>
            </w:r>
            <w:r w:rsidRPr="00970818">
              <w:rPr>
                <w:rFonts w:ascii="Times New Roman" w:hAnsi="Times New Roman" w:cs="Times New Roman"/>
                <w:sz w:val="26"/>
                <w:szCs w:val="26"/>
              </w:rPr>
              <w:t xml:space="preserve"> appointed</w:t>
            </w:r>
            <w:r w:rsidR="00FE71AD">
              <w:rPr>
                <w:rFonts w:ascii="Times New Roman" w:hAnsi="Times New Roman" w:cs="Times New Roman"/>
                <w:sz w:val="26"/>
                <w:szCs w:val="26"/>
              </w:rPr>
              <w:t xml:space="preserve">, as an </w:t>
            </w:r>
            <w:r w:rsidR="00D119F6">
              <w:rPr>
                <w:rFonts w:ascii="Times New Roman" w:hAnsi="Times New Roman" w:cs="Times New Roman"/>
                <w:sz w:val="26"/>
                <w:szCs w:val="26"/>
              </w:rPr>
              <w:t>adjudicator, in</w:t>
            </w:r>
            <w:r w:rsidRPr="00970818">
              <w:rPr>
                <w:rFonts w:ascii="Times New Roman" w:hAnsi="Times New Roman" w:cs="Times New Roman"/>
                <w:sz w:val="26"/>
                <w:szCs w:val="26"/>
              </w:rPr>
              <w:t xml:space="preserve"> accordance with the Ordinance to determine a payment disput</w:t>
            </w:r>
            <w:r w:rsidRPr="00970818">
              <w:rPr>
                <w:rFonts w:ascii="Times New Roman" w:hAnsi="Times New Roman" w:cs="Times New Roman"/>
                <w:sz w:val="26"/>
                <w:szCs w:val="26"/>
              </w:rPr>
              <w:t>e</w:t>
            </w:r>
          </w:p>
          <w:p w:rsidR="00970818" w:rsidRDefault="00970818" w:rsidP="00D82BBE">
            <w:pPr>
              <w:jc w:val="both"/>
              <w:rPr>
                <w:rFonts w:ascii="Times New Roman" w:hAnsi="Times New Roman" w:cs="Times New Roman"/>
                <w:sz w:val="26"/>
                <w:szCs w:val="26"/>
              </w:rPr>
            </w:pPr>
          </w:p>
        </w:tc>
      </w:tr>
      <w:tr w:rsidR="006C7556" w:rsidTr="00970818">
        <w:tc>
          <w:tcPr>
            <w:tcW w:w="1980" w:type="dxa"/>
          </w:tcPr>
          <w:p w:rsidR="006C7556" w:rsidRDefault="006C7556" w:rsidP="00D82BBE">
            <w:pPr>
              <w:jc w:val="both"/>
              <w:rPr>
                <w:rFonts w:ascii="Times New Roman" w:hAnsi="Times New Roman" w:cs="Times New Roman"/>
                <w:sz w:val="26"/>
                <w:szCs w:val="26"/>
              </w:rPr>
            </w:pPr>
            <w:r w:rsidRPr="00257312">
              <w:rPr>
                <w:rFonts w:ascii="Times New Roman" w:hAnsi="Times New Roman" w:cs="Times New Roman"/>
                <w:sz w:val="26"/>
                <w:szCs w:val="26"/>
              </w:rPr>
              <w:t>Hong Kong</w:t>
            </w:r>
          </w:p>
        </w:tc>
        <w:tc>
          <w:tcPr>
            <w:tcW w:w="6316" w:type="dxa"/>
          </w:tcPr>
          <w:p w:rsidR="006C7556" w:rsidRDefault="006C7556" w:rsidP="00D82BBE">
            <w:pPr>
              <w:jc w:val="both"/>
              <w:rPr>
                <w:rFonts w:ascii="Times New Roman" w:hAnsi="Times New Roman" w:cs="Times New Roman"/>
                <w:sz w:val="26"/>
                <w:szCs w:val="26"/>
              </w:rPr>
            </w:pPr>
            <w:r>
              <w:rPr>
                <w:rFonts w:ascii="Times New Roman" w:hAnsi="Times New Roman" w:cs="Times New Roman"/>
                <w:sz w:val="26"/>
                <w:szCs w:val="26"/>
              </w:rPr>
              <w:t xml:space="preserve">means the </w:t>
            </w:r>
            <w:r w:rsidRPr="003414F1">
              <w:rPr>
                <w:rFonts w:ascii="Times New Roman" w:hAnsi="Times New Roman" w:cs="Times New Roman"/>
                <w:sz w:val="26"/>
                <w:szCs w:val="26"/>
              </w:rPr>
              <w:t>Hong Kong Special Administrative Region of the People’s Republic of China</w:t>
            </w:r>
          </w:p>
          <w:p w:rsidR="002525CF" w:rsidRPr="00970818" w:rsidRDefault="002525CF" w:rsidP="00D82BBE">
            <w:pPr>
              <w:jc w:val="both"/>
              <w:rPr>
                <w:rFonts w:ascii="Times New Roman" w:hAnsi="Times New Roman" w:cs="Times New Roman"/>
                <w:sz w:val="26"/>
                <w:szCs w:val="26"/>
              </w:rPr>
            </w:pPr>
          </w:p>
        </w:tc>
      </w:tr>
      <w:tr w:rsidR="00AC7A28" w:rsidTr="00970818">
        <w:tc>
          <w:tcPr>
            <w:tcW w:w="1980" w:type="dxa"/>
          </w:tcPr>
          <w:p w:rsidR="00AC7A28" w:rsidRDefault="00AC7A28" w:rsidP="00D82BBE">
            <w:pPr>
              <w:jc w:val="both"/>
              <w:rPr>
                <w:rFonts w:ascii="Times New Roman" w:hAnsi="Times New Roman" w:cs="Times New Roman"/>
                <w:sz w:val="26"/>
                <w:szCs w:val="26"/>
              </w:rPr>
            </w:pPr>
            <w:r>
              <w:rPr>
                <w:rFonts w:ascii="Times New Roman" w:hAnsi="Times New Roman" w:cs="Times New Roman"/>
                <w:sz w:val="26"/>
                <w:szCs w:val="26"/>
              </w:rPr>
              <w:t>IBA</w:t>
            </w:r>
          </w:p>
        </w:tc>
        <w:tc>
          <w:tcPr>
            <w:tcW w:w="6316" w:type="dxa"/>
          </w:tcPr>
          <w:p w:rsidR="00AC7A28" w:rsidRDefault="00AC7A28" w:rsidP="00D82BBE">
            <w:pPr>
              <w:jc w:val="both"/>
              <w:rPr>
                <w:rFonts w:ascii="Times New Roman" w:hAnsi="Times New Roman" w:cs="Times New Roman"/>
                <w:sz w:val="26"/>
                <w:szCs w:val="26"/>
              </w:rPr>
            </w:pPr>
            <w:r>
              <w:rPr>
                <w:rFonts w:ascii="Times New Roman" w:hAnsi="Times New Roman" w:cs="Times New Roman"/>
                <w:sz w:val="26"/>
                <w:szCs w:val="26"/>
              </w:rPr>
              <w:t xml:space="preserve">means </w:t>
            </w:r>
            <w:r w:rsidRPr="0068036A">
              <w:rPr>
                <w:rFonts w:ascii="Times New Roman" w:hAnsi="Times New Roman" w:cs="Times New Roman"/>
                <w:sz w:val="26"/>
                <w:szCs w:val="26"/>
              </w:rPr>
              <w:t>the International Bar Association</w:t>
            </w:r>
          </w:p>
          <w:p w:rsidR="005B4B85" w:rsidRPr="00970818" w:rsidRDefault="005B4B85" w:rsidP="00D82BBE">
            <w:pPr>
              <w:jc w:val="both"/>
              <w:rPr>
                <w:rFonts w:ascii="Times New Roman" w:hAnsi="Times New Roman" w:cs="Times New Roman"/>
                <w:sz w:val="26"/>
                <w:szCs w:val="26"/>
              </w:rPr>
            </w:pPr>
          </w:p>
        </w:tc>
      </w:tr>
      <w:tr w:rsidR="00970818" w:rsidTr="00970818">
        <w:tc>
          <w:tcPr>
            <w:tcW w:w="1980" w:type="dxa"/>
          </w:tcPr>
          <w:p w:rsidR="00970818" w:rsidRDefault="0068036A" w:rsidP="00D82BBE">
            <w:pPr>
              <w:jc w:val="both"/>
              <w:rPr>
                <w:rFonts w:ascii="Times New Roman" w:hAnsi="Times New Roman" w:cs="Times New Roman"/>
                <w:sz w:val="26"/>
                <w:szCs w:val="26"/>
              </w:rPr>
            </w:pPr>
            <w:r w:rsidRPr="0068036A">
              <w:rPr>
                <w:rFonts w:ascii="Times New Roman" w:hAnsi="Times New Roman" w:cs="Times New Roman"/>
                <w:sz w:val="26"/>
                <w:szCs w:val="26"/>
              </w:rPr>
              <w:t>IBA Guidelines</w:t>
            </w:r>
          </w:p>
        </w:tc>
        <w:tc>
          <w:tcPr>
            <w:tcW w:w="6316" w:type="dxa"/>
          </w:tcPr>
          <w:p w:rsidR="00970818" w:rsidRDefault="00AC7A28" w:rsidP="00D82BBE">
            <w:pPr>
              <w:jc w:val="both"/>
              <w:rPr>
                <w:rFonts w:ascii="Times New Roman" w:hAnsi="Times New Roman" w:cs="Times New Roman"/>
                <w:sz w:val="26"/>
                <w:szCs w:val="26"/>
              </w:rPr>
            </w:pPr>
            <w:r>
              <w:rPr>
                <w:rFonts w:ascii="Times New Roman" w:hAnsi="Times New Roman" w:cs="Times New Roman"/>
                <w:sz w:val="26"/>
                <w:szCs w:val="26"/>
              </w:rPr>
              <w:t xml:space="preserve">means </w:t>
            </w:r>
            <w:r w:rsidR="0068036A" w:rsidRPr="0068036A">
              <w:rPr>
                <w:rFonts w:ascii="Times New Roman" w:hAnsi="Times New Roman" w:cs="Times New Roman"/>
                <w:sz w:val="26"/>
                <w:szCs w:val="26"/>
              </w:rPr>
              <w:t>IBA Guidelines on Conflicts of Interest in International Arbitration (2024 Edition) published by the IBA Arbitration Committee</w:t>
            </w:r>
          </w:p>
          <w:p w:rsidR="0068036A" w:rsidRDefault="0068036A" w:rsidP="00D82BBE">
            <w:pPr>
              <w:jc w:val="both"/>
              <w:rPr>
                <w:rFonts w:ascii="Times New Roman" w:hAnsi="Times New Roman" w:cs="Times New Roman"/>
                <w:sz w:val="26"/>
                <w:szCs w:val="26"/>
              </w:rPr>
            </w:pPr>
          </w:p>
        </w:tc>
      </w:tr>
      <w:tr w:rsidR="00970818" w:rsidTr="00970818">
        <w:tc>
          <w:tcPr>
            <w:tcW w:w="1980" w:type="dxa"/>
          </w:tcPr>
          <w:p w:rsidR="00970818" w:rsidRDefault="0068036A" w:rsidP="00D82BBE">
            <w:pPr>
              <w:jc w:val="both"/>
              <w:rPr>
                <w:rFonts w:ascii="Times New Roman" w:hAnsi="Times New Roman" w:cs="Times New Roman"/>
                <w:sz w:val="26"/>
                <w:szCs w:val="26"/>
              </w:rPr>
            </w:pPr>
            <w:r w:rsidRPr="0068036A">
              <w:rPr>
                <w:rFonts w:ascii="Times New Roman" w:hAnsi="Times New Roman" w:cs="Times New Roman"/>
                <w:sz w:val="26"/>
                <w:szCs w:val="26"/>
              </w:rPr>
              <w:t>justifiable doubts</w:t>
            </w:r>
          </w:p>
        </w:tc>
        <w:tc>
          <w:tcPr>
            <w:tcW w:w="6316" w:type="dxa"/>
          </w:tcPr>
          <w:p w:rsidR="00970818" w:rsidRDefault="0068036A" w:rsidP="00D82BBE">
            <w:pPr>
              <w:jc w:val="both"/>
              <w:rPr>
                <w:rFonts w:ascii="Times New Roman" w:hAnsi="Times New Roman" w:cs="Times New Roman"/>
                <w:sz w:val="26"/>
                <w:szCs w:val="26"/>
              </w:rPr>
            </w:pPr>
            <w:r w:rsidRPr="0068036A">
              <w:rPr>
                <w:rFonts w:ascii="Times New Roman" w:hAnsi="Times New Roman" w:cs="Times New Roman"/>
                <w:sz w:val="26"/>
                <w:szCs w:val="26"/>
              </w:rPr>
              <w:t>means justifiable doubts as to the adjudicator’s impartiality or independence</w:t>
            </w:r>
          </w:p>
          <w:p w:rsidR="0068036A" w:rsidRDefault="0068036A" w:rsidP="00D82BBE">
            <w:pPr>
              <w:jc w:val="both"/>
              <w:rPr>
                <w:rFonts w:ascii="Times New Roman" w:hAnsi="Times New Roman" w:cs="Times New Roman"/>
                <w:sz w:val="26"/>
                <w:szCs w:val="26"/>
              </w:rPr>
            </w:pPr>
          </w:p>
        </w:tc>
      </w:tr>
      <w:tr w:rsidR="0068036A" w:rsidTr="00970818">
        <w:tc>
          <w:tcPr>
            <w:tcW w:w="1980" w:type="dxa"/>
          </w:tcPr>
          <w:p w:rsidR="0068036A" w:rsidRPr="0068036A" w:rsidRDefault="0068036A" w:rsidP="00D82BBE">
            <w:pPr>
              <w:jc w:val="both"/>
              <w:rPr>
                <w:rFonts w:ascii="Times New Roman" w:hAnsi="Times New Roman" w:cs="Times New Roman"/>
                <w:sz w:val="26"/>
                <w:szCs w:val="26"/>
              </w:rPr>
            </w:pPr>
            <w:r w:rsidRPr="0068036A">
              <w:rPr>
                <w:rFonts w:ascii="Times New Roman" w:hAnsi="Times New Roman" w:cs="Times New Roman"/>
                <w:sz w:val="26"/>
                <w:szCs w:val="26"/>
              </w:rPr>
              <w:t>Ordinance</w:t>
            </w:r>
          </w:p>
        </w:tc>
        <w:tc>
          <w:tcPr>
            <w:tcW w:w="6316" w:type="dxa"/>
          </w:tcPr>
          <w:p w:rsidR="0068036A" w:rsidRDefault="0068036A" w:rsidP="00D82BBE">
            <w:pPr>
              <w:jc w:val="both"/>
              <w:rPr>
                <w:rFonts w:ascii="Times New Roman" w:hAnsi="Times New Roman" w:cs="Times New Roman"/>
                <w:sz w:val="26"/>
                <w:szCs w:val="26"/>
              </w:rPr>
            </w:pPr>
            <w:r w:rsidRPr="0068036A">
              <w:rPr>
                <w:rFonts w:ascii="Times New Roman" w:hAnsi="Times New Roman" w:cs="Times New Roman"/>
                <w:sz w:val="26"/>
                <w:szCs w:val="26"/>
              </w:rPr>
              <w:t>means the Construction Industry Security of Payment Ordinance (</w:t>
            </w:r>
            <w:r w:rsidR="00F9791B">
              <w:rPr>
                <w:rFonts w:ascii="Times New Roman" w:hAnsi="Times New Roman" w:cs="Times New Roman"/>
                <w:sz w:val="26"/>
                <w:szCs w:val="26"/>
              </w:rPr>
              <w:t>Chapter</w:t>
            </w:r>
            <w:r w:rsidRPr="0068036A">
              <w:rPr>
                <w:rFonts w:ascii="Times New Roman" w:hAnsi="Times New Roman" w:cs="Times New Roman"/>
                <w:sz w:val="26"/>
                <w:szCs w:val="26"/>
              </w:rPr>
              <w:t xml:space="preserve"> 652 </w:t>
            </w:r>
            <w:r w:rsidR="00EB719A" w:rsidRPr="003414F1">
              <w:rPr>
                <w:rFonts w:ascii="Times New Roman" w:hAnsi="Times New Roman" w:cs="Times New Roman"/>
                <w:sz w:val="26"/>
                <w:szCs w:val="26"/>
              </w:rPr>
              <w:t>of the Laws of</w:t>
            </w:r>
            <w:r w:rsidR="00EB719A">
              <w:rPr>
                <w:rFonts w:ascii="Times New Roman" w:hAnsi="Times New Roman" w:cs="Times New Roman"/>
                <w:sz w:val="26"/>
                <w:szCs w:val="26"/>
              </w:rPr>
              <w:t xml:space="preserve"> </w:t>
            </w:r>
            <w:r w:rsidRPr="0068036A">
              <w:rPr>
                <w:rFonts w:ascii="Times New Roman" w:hAnsi="Times New Roman" w:cs="Times New Roman"/>
                <w:sz w:val="26"/>
                <w:szCs w:val="26"/>
              </w:rPr>
              <w:t>Hong Kong</w:t>
            </w:r>
            <w:r w:rsidR="00F9791B">
              <w:rPr>
                <w:rFonts w:ascii="Times New Roman" w:hAnsi="Times New Roman" w:cs="Times New Roman"/>
                <w:sz w:val="26"/>
                <w:szCs w:val="26"/>
              </w:rPr>
              <w:t>)</w:t>
            </w:r>
          </w:p>
          <w:p w:rsidR="0068036A" w:rsidRPr="0068036A" w:rsidRDefault="0068036A" w:rsidP="00D82BBE">
            <w:pPr>
              <w:jc w:val="both"/>
              <w:rPr>
                <w:rFonts w:ascii="Times New Roman" w:hAnsi="Times New Roman" w:cs="Times New Roman"/>
                <w:sz w:val="26"/>
                <w:szCs w:val="26"/>
              </w:rPr>
            </w:pPr>
          </w:p>
        </w:tc>
      </w:tr>
    </w:tbl>
    <w:p w:rsidR="00B93296" w:rsidRDefault="00B93296" w:rsidP="00D82BBE">
      <w:pPr>
        <w:jc w:val="both"/>
        <w:rPr>
          <w:rFonts w:ascii="Times New Roman" w:hAnsi="Times New Roman" w:cs="Times New Roman"/>
          <w:sz w:val="26"/>
          <w:szCs w:val="26"/>
        </w:rPr>
      </w:pPr>
    </w:p>
    <w:p w:rsidR="0068036A" w:rsidRDefault="0068036A" w:rsidP="00D82BBE">
      <w:pPr>
        <w:widowControl/>
        <w:jc w:val="both"/>
        <w:rPr>
          <w:rFonts w:ascii="Times New Roman" w:hAnsi="Times New Roman" w:cs="Times New Roman"/>
          <w:sz w:val="26"/>
          <w:szCs w:val="26"/>
        </w:rPr>
      </w:pPr>
      <w:r>
        <w:rPr>
          <w:rFonts w:ascii="Times New Roman" w:hAnsi="Times New Roman" w:cs="Times New Roman"/>
          <w:sz w:val="26"/>
          <w:szCs w:val="26"/>
        </w:rPr>
        <w:br w:type="page"/>
      </w:r>
    </w:p>
    <w:p w:rsidR="00B93296" w:rsidRDefault="0068036A" w:rsidP="00D82BBE">
      <w:pPr>
        <w:jc w:val="both"/>
        <w:rPr>
          <w:rFonts w:ascii="Times New Roman" w:hAnsi="Times New Roman" w:cs="Times New Roman"/>
          <w:b/>
          <w:sz w:val="26"/>
          <w:szCs w:val="26"/>
        </w:rPr>
      </w:pPr>
      <w:r w:rsidRPr="0068036A">
        <w:rPr>
          <w:rFonts w:ascii="Times New Roman" w:hAnsi="Times New Roman" w:cs="Times New Roman" w:hint="eastAsia"/>
          <w:b/>
          <w:sz w:val="26"/>
          <w:szCs w:val="26"/>
        </w:rPr>
        <w:lastRenderedPageBreak/>
        <w:t>Introduction</w:t>
      </w:r>
    </w:p>
    <w:p w:rsidR="002B02F9" w:rsidRPr="002B02F9" w:rsidRDefault="002B02F9" w:rsidP="00D82BBE">
      <w:pPr>
        <w:jc w:val="both"/>
        <w:rPr>
          <w:rFonts w:ascii="Times New Roman" w:hAnsi="Times New Roman" w:cs="Times New Roman"/>
          <w:sz w:val="26"/>
          <w:szCs w:val="26"/>
        </w:rPr>
      </w:pPr>
    </w:p>
    <w:p w:rsidR="0068036A" w:rsidRDefault="0068036A" w:rsidP="00D82BBE">
      <w:pPr>
        <w:pStyle w:val="a8"/>
        <w:numPr>
          <w:ilvl w:val="0"/>
          <w:numId w:val="1"/>
        </w:numPr>
        <w:tabs>
          <w:tab w:val="left" w:pos="709"/>
        </w:tabs>
        <w:ind w:leftChars="0" w:left="709" w:hanging="709"/>
        <w:jc w:val="both"/>
        <w:rPr>
          <w:rFonts w:ascii="Times New Roman" w:hAnsi="Times New Roman" w:cs="Times New Roman"/>
          <w:sz w:val="26"/>
          <w:szCs w:val="26"/>
        </w:rPr>
      </w:pPr>
      <w:r w:rsidRPr="0068036A">
        <w:rPr>
          <w:rFonts w:ascii="Times New Roman" w:hAnsi="Times New Roman" w:cs="Times New Roman"/>
          <w:sz w:val="26"/>
          <w:szCs w:val="26"/>
        </w:rPr>
        <w:t>Under the Ordinance, adjudication is designed to provide a prompt and cost-effective interim resolution of payment disputes.  The nomination and appointment of adjudicator by an ANB under the Ordinance is intended to be a simple and quick process and to facilitate the promptness of the adjudication proceedings. Before appointing an adjudicator, an ANB must undertake appropriate checks and be satisfied that an individual does not have a conflict of interest in respect of the appointment, or circumstances exist that give rise to justifiable doubts as to the individual’s independence or impartiality.</w:t>
      </w:r>
    </w:p>
    <w:p w:rsidR="0068036A" w:rsidRPr="0068036A" w:rsidRDefault="0068036A" w:rsidP="00D82BBE">
      <w:pPr>
        <w:pStyle w:val="a8"/>
        <w:tabs>
          <w:tab w:val="left" w:pos="709"/>
        </w:tabs>
        <w:ind w:leftChars="0" w:left="709"/>
        <w:jc w:val="both"/>
        <w:rPr>
          <w:rFonts w:ascii="Times New Roman" w:hAnsi="Times New Roman" w:cs="Times New Roman"/>
          <w:sz w:val="26"/>
          <w:szCs w:val="26"/>
        </w:rPr>
      </w:pPr>
    </w:p>
    <w:p w:rsidR="0068036A" w:rsidRDefault="0068036A" w:rsidP="00D82BBE">
      <w:pPr>
        <w:pStyle w:val="a8"/>
        <w:numPr>
          <w:ilvl w:val="0"/>
          <w:numId w:val="1"/>
        </w:numPr>
        <w:tabs>
          <w:tab w:val="left" w:pos="709"/>
        </w:tabs>
        <w:ind w:leftChars="0" w:left="709" w:hanging="709"/>
        <w:jc w:val="both"/>
        <w:rPr>
          <w:rFonts w:ascii="Times New Roman" w:hAnsi="Times New Roman" w:cs="Times New Roman"/>
          <w:sz w:val="26"/>
          <w:szCs w:val="26"/>
        </w:rPr>
      </w:pPr>
      <w:r w:rsidRPr="0068036A">
        <w:rPr>
          <w:rFonts w:ascii="Times New Roman" w:hAnsi="Times New Roman" w:cs="Times New Roman"/>
          <w:sz w:val="26"/>
          <w:szCs w:val="26"/>
        </w:rPr>
        <w:t xml:space="preserve">An adjudicator is expected </w:t>
      </w:r>
      <w:r w:rsidR="008E2596">
        <w:rPr>
          <w:rFonts w:ascii="Times New Roman" w:hAnsi="Times New Roman" w:cs="Times New Roman"/>
          <w:sz w:val="26"/>
          <w:szCs w:val="26"/>
        </w:rPr>
        <w:t>to have</w:t>
      </w:r>
      <w:r w:rsidRPr="0068036A">
        <w:rPr>
          <w:rFonts w:ascii="Times New Roman" w:hAnsi="Times New Roman" w:cs="Times New Roman"/>
          <w:sz w:val="26"/>
          <w:szCs w:val="26"/>
        </w:rPr>
        <w:t xml:space="preserve"> knowledge, expertise and experience in the local construction industry.  The relevant industry experience may be gained through frequent involvements and connections with businesses and individuals who operate in the sector, including architects, engineers, surveyors and lawyers.</w:t>
      </w:r>
    </w:p>
    <w:p w:rsidR="0068036A" w:rsidRDefault="0068036A" w:rsidP="00D82BBE">
      <w:pPr>
        <w:pStyle w:val="a8"/>
        <w:tabs>
          <w:tab w:val="left" w:pos="709"/>
        </w:tabs>
        <w:ind w:leftChars="0" w:left="709"/>
        <w:jc w:val="both"/>
        <w:rPr>
          <w:rFonts w:ascii="Times New Roman" w:hAnsi="Times New Roman" w:cs="Times New Roman"/>
          <w:sz w:val="26"/>
          <w:szCs w:val="26"/>
        </w:rPr>
      </w:pPr>
    </w:p>
    <w:p w:rsidR="0068036A" w:rsidRDefault="0068036A" w:rsidP="00D82BBE">
      <w:pPr>
        <w:pStyle w:val="a8"/>
        <w:numPr>
          <w:ilvl w:val="0"/>
          <w:numId w:val="1"/>
        </w:numPr>
        <w:tabs>
          <w:tab w:val="left" w:pos="709"/>
        </w:tabs>
        <w:ind w:leftChars="0" w:left="709" w:hanging="709"/>
        <w:jc w:val="both"/>
        <w:rPr>
          <w:rFonts w:ascii="Times New Roman" w:hAnsi="Times New Roman" w:cs="Times New Roman"/>
          <w:sz w:val="26"/>
          <w:szCs w:val="26"/>
        </w:rPr>
      </w:pPr>
      <w:r w:rsidRPr="0068036A">
        <w:rPr>
          <w:rFonts w:ascii="Times New Roman" w:hAnsi="Times New Roman" w:cs="Times New Roman"/>
          <w:sz w:val="26"/>
          <w:szCs w:val="26"/>
        </w:rPr>
        <w:t xml:space="preserve">These involvements and connections play an important role in broadening and deepening an individual’s experience and expertise, and in ensuring the adjudicator is accepted by the parties as being able to understand and rigorously evaluate the evidence they submit and ultimately resolving the dispute satisfactorily.  In some circumstances, however, an individual may be too closely connected with one of the parties to the dispute, or the subject matter of the dispute, bringing their ability to </w:t>
      </w:r>
      <w:r w:rsidR="008E2596">
        <w:rPr>
          <w:rFonts w:ascii="Times New Roman" w:hAnsi="Times New Roman" w:cs="Times New Roman"/>
          <w:sz w:val="26"/>
          <w:szCs w:val="26"/>
        </w:rPr>
        <w:t xml:space="preserve">act independently or impartially </w:t>
      </w:r>
      <w:r w:rsidRPr="0068036A">
        <w:rPr>
          <w:rFonts w:ascii="Times New Roman" w:hAnsi="Times New Roman" w:cs="Times New Roman"/>
          <w:sz w:val="26"/>
          <w:szCs w:val="26"/>
        </w:rPr>
        <w:t>as an adjudicator into question.  In such circumstances, the individual is ineligible to be appointed.</w:t>
      </w:r>
    </w:p>
    <w:p w:rsidR="0068036A" w:rsidRDefault="0068036A" w:rsidP="00D82BBE">
      <w:pPr>
        <w:pStyle w:val="a8"/>
        <w:tabs>
          <w:tab w:val="left" w:pos="709"/>
        </w:tabs>
        <w:ind w:leftChars="0" w:left="709"/>
        <w:jc w:val="both"/>
        <w:rPr>
          <w:rFonts w:ascii="Times New Roman" w:hAnsi="Times New Roman" w:cs="Times New Roman"/>
          <w:sz w:val="26"/>
          <w:szCs w:val="26"/>
        </w:rPr>
      </w:pPr>
    </w:p>
    <w:p w:rsidR="00D82BBE" w:rsidRDefault="00D82BBE">
      <w:pPr>
        <w:widowControl/>
        <w:rPr>
          <w:rFonts w:ascii="Times New Roman" w:hAnsi="Times New Roman" w:cs="Times New Roman"/>
          <w:b/>
          <w:sz w:val="26"/>
          <w:szCs w:val="26"/>
        </w:rPr>
      </w:pPr>
      <w:r>
        <w:rPr>
          <w:rFonts w:ascii="Times New Roman" w:hAnsi="Times New Roman" w:cs="Times New Roman"/>
          <w:b/>
          <w:sz w:val="26"/>
          <w:szCs w:val="26"/>
        </w:rPr>
        <w:br w:type="page"/>
      </w:r>
    </w:p>
    <w:p w:rsidR="00867437" w:rsidRPr="0019079D" w:rsidRDefault="005338E3" w:rsidP="00D82BBE">
      <w:pPr>
        <w:tabs>
          <w:tab w:val="left" w:pos="709"/>
        </w:tabs>
        <w:jc w:val="both"/>
        <w:rPr>
          <w:rFonts w:ascii="Times New Roman" w:hAnsi="Times New Roman" w:cs="Times New Roman"/>
          <w:b/>
          <w:sz w:val="26"/>
          <w:szCs w:val="26"/>
        </w:rPr>
      </w:pPr>
      <w:r w:rsidRPr="0019079D">
        <w:rPr>
          <w:rFonts w:ascii="Times New Roman" w:hAnsi="Times New Roman" w:cs="Times New Roman"/>
          <w:b/>
          <w:sz w:val="26"/>
          <w:szCs w:val="26"/>
        </w:rPr>
        <w:lastRenderedPageBreak/>
        <w:t xml:space="preserve">Part I of </w:t>
      </w:r>
      <w:r w:rsidR="00867437" w:rsidRPr="0019079D">
        <w:rPr>
          <w:rFonts w:ascii="Times New Roman" w:hAnsi="Times New Roman" w:cs="Times New Roman" w:hint="eastAsia"/>
          <w:b/>
          <w:sz w:val="26"/>
          <w:szCs w:val="26"/>
        </w:rPr>
        <w:t>the IBA Guidelines</w:t>
      </w:r>
    </w:p>
    <w:p w:rsidR="002B02F9" w:rsidRPr="0019079D" w:rsidRDefault="002B02F9" w:rsidP="00D82BBE">
      <w:pPr>
        <w:tabs>
          <w:tab w:val="left" w:pos="709"/>
        </w:tabs>
        <w:jc w:val="both"/>
        <w:rPr>
          <w:rFonts w:ascii="Times New Roman" w:hAnsi="Times New Roman" w:cs="Times New Roman"/>
          <w:sz w:val="26"/>
          <w:szCs w:val="26"/>
        </w:rPr>
      </w:pPr>
    </w:p>
    <w:p w:rsidR="00564A69" w:rsidRDefault="00EE7CC6" w:rsidP="00D82BBE">
      <w:pPr>
        <w:pStyle w:val="a8"/>
        <w:numPr>
          <w:ilvl w:val="0"/>
          <w:numId w:val="1"/>
        </w:numPr>
        <w:tabs>
          <w:tab w:val="left" w:pos="709"/>
        </w:tabs>
        <w:ind w:leftChars="0" w:left="709" w:hanging="709"/>
        <w:jc w:val="both"/>
        <w:rPr>
          <w:rFonts w:ascii="Times New Roman" w:hAnsi="Times New Roman" w:cs="Times New Roman"/>
          <w:sz w:val="26"/>
          <w:szCs w:val="26"/>
        </w:rPr>
      </w:pPr>
      <w:r w:rsidRPr="00765011">
        <w:rPr>
          <w:rFonts w:ascii="Times New Roman" w:hAnsi="Times New Roman" w:cs="Times New Roman"/>
          <w:sz w:val="26"/>
          <w:szCs w:val="26"/>
        </w:rPr>
        <w:t>A</w:t>
      </w:r>
      <w:r w:rsidR="007C2F13" w:rsidRPr="00765011">
        <w:rPr>
          <w:rFonts w:ascii="Times New Roman" w:hAnsi="Times New Roman" w:cs="Times New Roman"/>
          <w:sz w:val="26"/>
          <w:szCs w:val="26"/>
        </w:rPr>
        <w:t xml:space="preserve">djudicators </w:t>
      </w:r>
      <w:r w:rsidR="00DC44C3" w:rsidRPr="00765011">
        <w:rPr>
          <w:rFonts w:ascii="Times New Roman" w:hAnsi="Times New Roman" w:cs="Times New Roman"/>
          <w:sz w:val="26"/>
          <w:szCs w:val="26"/>
        </w:rPr>
        <w:t xml:space="preserve">and ANB </w:t>
      </w:r>
      <w:r w:rsidRPr="00765011">
        <w:rPr>
          <w:rFonts w:ascii="Times New Roman" w:hAnsi="Times New Roman" w:cs="Times New Roman"/>
          <w:sz w:val="26"/>
          <w:szCs w:val="26"/>
        </w:rPr>
        <w:t>should follow</w:t>
      </w:r>
      <w:r w:rsidR="007C2F13" w:rsidRPr="00D119F6">
        <w:rPr>
          <w:rFonts w:ascii="Times New Roman" w:hAnsi="Times New Roman" w:cs="Times New Roman"/>
          <w:sz w:val="26"/>
          <w:szCs w:val="26"/>
        </w:rPr>
        <w:t xml:space="preserve"> </w:t>
      </w:r>
      <w:r w:rsidR="00F51235" w:rsidRPr="00D119F6">
        <w:rPr>
          <w:rFonts w:ascii="Times New Roman" w:hAnsi="Times New Roman" w:cs="Times New Roman"/>
          <w:sz w:val="26"/>
          <w:szCs w:val="26"/>
        </w:rPr>
        <w:t>G</w:t>
      </w:r>
      <w:r w:rsidR="00F51235" w:rsidRPr="0019079D">
        <w:rPr>
          <w:rFonts w:ascii="Times New Roman" w:hAnsi="Times New Roman" w:cs="Times New Roman"/>
          <w:sz w:val="26"/>
          <w:szCs w:val="26"/>
        </w:rPr>
        <w:t>eneral Standards (1) to (7) and the explanation</w:t>
      </w:r>
      <w:r w:rsidR="008E2596">
        <w:rPr>
          <w:rFonts w:ascii="Times New Roman" w:hAnsi="Times New Roman" w:cs="Times New Roman"/>
          <w:sz w:val="26"/>
          <w:szCs w:val="26"/>
        </w:rPr>
        <w:t>s</w:t>
      </w:r>
      <w:r w:rsidR="00F51235" w:rsidRPr="0019079D">
        <w:rPr>
          <w:rFonts w:ascii="Times New Roman" w:hAnsi="Times New Roman" w:cs="Times New Roman"/>
          <w:sz w:val="26"/>
          <w:szCs w:val="26"/>
        </w:rPr>
        <w:t xml:space="preserve"> to the General Standards in Part I of the IBA Guidelines</w:t>
      </w:r>
      <w:r w:rsidR="0038799F">
        <w:rPr>
          <w:rFonts w:ascii="Times New Roman" w:hAnsi="Times New Roman" w:cs="Times New Roman"/>
          <w:sz w:val="26"/>
          <w:szCs w:val="26"/>
        </w:rPr>
        <w:t>, with necessary modifications</w:t>
      </w:r>
      <w:r w:rsidR="007C2F13">
        <w:rPr>
          <w:rFonts w:ascii="Times New Roman" w:hAnsi="Times New Roman" w:cs="Times New Roman"/>
          <w:sz w:val="26"/>
          <w:szCs w:val="26"/>
        </w:rPr>
        <w:t xml:space="preserve"> and </w:t>
      </w:r>
      <w:r w:rsidR="004537BF">
        <w:rPr>
          <w:rFonts w:ascii="Times New Roman" w:hAnsi="Times New Roman" w:cs="Times New Roman"/>
          <w:sz w:val="26"/>
          <w:szCs w:val="26"/>
        </w:rPr>
        <w:t xml:space="preserve">the express deviations set out </w:t>
      </w:r>
      <w:r w:rsidR="007C2F13">
        <w:rPr>
          <w:rFonts w:ascii="Times New Roman" w:hAnsi="Times New Roman" w:cs="Times New Roman"/>
          <w:sz w:val="26"/>
          <w:szCs w:val="26"/>
        </w:rPr>
        <w:t xml:space="preserve">in paragraph </w:t>
      </w:r>
      <w:r w:rsidR="006E5857">
        <w:rPr>
          <w:rFonts w:ascii="Times New Roman" w:hAnsi="Times New Roman" w:cs="Times New Roman"/>
          <w:sz w:val="26"/>
          <w:szCs w:val="26"/>
        </w:rPr>
        <w:t xml:space="preserve">5 </w:t>
      </w:r>
      <w:r w:rsidR="007C2F13">
        <w:rPr>
          <w:rFonts w:ascii="Times New Roman" w:hAnsi="Times New Roman" w:cs="Times New Roman"/>
          <w:sz w:val="26"/>
          <w:szCs w:val="26"/>
        </w:rPr>
        <w:t>below</w:t>
      </w:r>
      <w:r w:rsidR="0038799F">
        <w:rPr>
          <w:rFonts w:ascii="Times New Roman" w:hAnsi="Times New Roman" w:cs="Times New Roman"/>
          <w:sz w:val="26"/>
          <w:szCs w:val="26"/>
        </w:rPr>
        <w:t>,</w:t>
      </w:r>
      <w:r w:rsidR="008E2596">
        <w:rPr>
          <w:rFonts w:ascii="Times New Roman" w:hAnsi="Times New Roman" w:cs="Times New Roman"/>
          <w:sz w:val="26"/>
          <w:szCs w:val="26"/>
        </w:rPr>
        <w:t xml:space="preserve"> to the evaluation of existence of conflict of interest and justifiable doubts</w:t>
      </w:r>
      <w:r>
        <w:rPr>
          <w:rFonts w:ascii="Times New Roman" w:hAnsi="Times New Roman" w:cs="Times New Roman"/>
          <w:sz w:val="26"/>
          <w:szCs w:val="26"/>
        </w:rPr>
        <w:t xml:space="preserve"> under section 28</w:t>
      </w:r>
      <w:r w:rsidR="008E2596">
        <w:rPr>
          <w:rFonts w:ascii="Times New Roman" w:hAnsi="Times New Roman" w:cs="Times New Roman"/>
          <w:sz w:val="26"/>
          <w:szCs w:val="26"/>
        </w:rPr>
        <w:t xml:space="preserve"> and the obligation to disclose </w:t>
      </w:r>
      <w:r w:rsidR="00D05F3C">
        <w:rPr>
          <w:rFonts w:ascii="Times New Roman" w:hAnsi="Times New Roman" w:cs="Times New Roman"/>
          <w:sz w:val="26"/>
          <w:szCs w:val="26"/>
        </w:rPr>
        <w:t xml:space="preserve">conflict of interest and justifiable doubts </w:t>
      </w:r>
      <w:r w:rsidR="008E2596">
        <w:rPr>
          <w:rFonts w:ascii="Times New Roman" w:hAnsi="Times New Roman" w:cs="Times New Roman"/>
          <w:sz w:val="26"/>
          <w:szCs w:val="26"/>
        </w:rPr>
        <w:t xml:space="preserve">under </w:t>
      </w:r>
      <w:r>
        <w:rPr>
          <w:rFonts w:ascii="Times New Roman" w:hAnsi="Times New Roman" w:cs="Times New Roman"/>
          <w:sz w:val="26"/>
          <w:szCs w:val="26"/>
        </w:rPr>
        <w:t xml:space="preserve">section </w:t>
      </w:r>
      <w:r w:rsidR="000111CB">
        <w:rPr>
          <w:rFonts w:ascii="Times New Roman" w:hAnsi="Times New Roman" w:cs="Times New Roman"/>
          <w:sz w:val="26"/>
          <w:szCs w:val="26"/>
        </w:rPr>
        <w:t>29 of the Ordinance</w:t>
      </w:r>
      <w:r w:rsidR="00D05F3C">
        <w:rPr>
          <w:rFonts w:ascii="Times New Roman" w:hAnsi="Times New Roman" w:cs="Times New Roman"/>
          <w:sz w:val="26"/>
          <w:szCs w:val="26"/>
        </w:rPr>
        <w:t xml:space="preserve"> (“</w:t>
      </w:r>
      <w:r>
        <w:rPr>
          <w:rFonts w:ascii="Times New Roman" w:hAnsi="Times New Roman" w:cs="Times New Roman"/>
          <w:b/>
          <w:sz w:val="26"/>
          <w:szCs w:val="26"/>
        </w:rPr>
        <w:t>Requirements</w:t>
      </w:r>
      <w:r w:rsidR="00D05F3C">
        <w:rPr>
          <w:rFonts w:ascii="Times New Roman" w:hAnsi="Times New Roman" w:cs="Times New Roman"/>
          <w:sz w:val="26"/>
          <w:szCs w:val="26"/>
        </w:rPr>
        <w:t>”)</w:t>
      </w:r>
      <w:r w:rsidR="00564A69" w:rsidRPr="0019079D">
        <w:rPr>
          <w:rFonts w:ascii="Times New Roman" w:hAnsi="Times New Roman" w:cs="Times New Roman"/>
          <w:sz w:val="26"/>
          <w:szCs w:val="26"/>
        </w:rPr>
        <w:t>.</w:t>
      </w:r>
    </w:p>
    <w:p w:rsidR="007C2F13" w:rsidRDefault="007C2F13" w:rsidP="00D82BBE">
      <w:pPr>
        <w:pStyle w:val="a8"/>
        <w:tabs>
          <w:tab w:val="left" w:pos="709"/>
        </w:tabs>
        <w:ind w:leftChars="0" w:left="709"/>
        <w:jc w:val="both"/>
        <w:rPr>
          <w:rFonts w:ascii="Times New Roman" w:hAnsi="Times New Roman" w:cs="Times New Roman"/>
          <w:sz w:val="26"/>
          <w:szCs w:val="26"/>
        </w:rPr>
      </w:pPr>
    </w:p>
    <w:p w:rsidR="007C2F13" w:rsidRPr="0019079D" w:rsidRDefault="007C2F13" w:rsidP="00D82BBE">
      <w:pPr>
        <w:pStyle w:val="a8"/>
        <w:numPr>
          <w:ilvl w:val="0"/>
          <w:numId w:val="1"/>
        </w:numPr>
        <w:tabs>
          <w:tab w:val="left" w:pos="709"/>
        </w:tabs>
        <w:ind w:leftChars="0" w:left="709" w:hanging="709"/>
        <w:jc w:val="both"/>
        <w:rPr>
          <w:rFonts w:ascii="Times New Roman" w:hAnsi="Times New Roman" w:cs="Times New Roman"/>
          <w:sz w:val="26"/>
          <w:szCs w:val="26"/>
        </w:rPr>
      </w:pPr>
      <w:r>
        <w:rPr>
          <w:rFonts w:ascii="Times New Roman" w:hAnsi="Times New Roman" w:cs="Times New Roman"/>
          <w:sz w:val="26"/>
          <w:szCs w:val="26"/>
        </w:rPr>
        <w:t xml:space="preserve">To suit </w:t>
      </w:r>
      <w:r w:rsidR="006E5857">
        <w:rPr>
          <w:rFonts w:ascii="Times New Roman" w:hAnsi="Times New Roman" w:cs="Times New Roman"/>
          <w:sz w:val="26"/>
          <w:szCs w:val="26"/>
        </w:rPr>
        <w:t xml:space="preserve">the Ordinance </w:t>
      </w:r>
      <w:r>
        <w:rPr>
          <w:rFonts w:ascii="Times New Roman" w:hAnsi="Times New Roman" w:cs="Times New Roman"/>
          <w:sz w:val="26"/>
          <w:szCs w:val="26"/>
        </w:rPr>
        <w:t xml:space="preserve">and the construction industry practices in Hong Kong, </w:t>
      </w:r>
      <w:r w:rsidR="00090FC0" w:rsidRPr="00D82BBE">
        <w:rPr>
          <w:rFonts w:ascii="Times New Roman" w:hAnsi="Times New Roman" w:cs="Times New Roman"/>
          <w:sz w:val="26"/>
          <w:szCs w:val="26"/>
        </w:rPr>
        <w:t>th</w:t>
      </w:r>
      <w:r w:rsidR="00090FC0">
        <w:rPr>
          <w:rFonts w:ascii="Times New Roman" w:hAnsi="Times New Roman" w:cs="Times New Roman"/>
          <w:sz w:val="26"/>
          <w:szCs w:val="26"/>
        </w:rPr>
        <w:t xml:space="preserve">e following </w:t>
      </w:r>
      <w:r w:rsidR="00EE7CC6">
        <w:rPr>
          <w:rFonts w:ascii="Times New Roman" w:hAnsi="Times New Roman" w:cs="Times New Roman"/>
          <w:sz w:val="26"/>
          <w:szCs w:val="26"/>
        </w:rPr>
        <w:t>exceptions</w:t>
      </w:r>
      <w:r w:rsidR="00090FC0">
        <w:rPr>
          <w:rFonts w:ascii="Times New Roman" w:hAnsi="Times New Roman" w:cs="Times New Roman"/>
          <w:sz w:val="26"/>
          <w:szCs w:val="26"/>
        </w:rPr>
        <w:t xml:space="preserve"> </w:t>
      </w:r>
      <w:r w:rsidR="000111CB">
        <w:rPr>
          <w:rFonts w:ascii="Times New Roman" w:hAnsi="Times New Roman" w:cs="Times New Roman"/>
          <w:sz w:val="26"/>
          <w:szCs w:val="26"/>
        </w:rPr>
        <w:t xml:space="preserve">should be adopted in </w:t>
      </w:r>
      <w:r w:rsidR="00EE7CC6">
        <w:rPr>
          <w:rFonts w:ascii="Times New Roman" w:hAnsi="Times New Roman" w:cs="Times New Roman"/>
          <w:sz w:val="26"/>
          <w:szCs w:val="26"/>
        </w:rPr>
        <w:t>carrying out the Requirements</w:t>
      </w:r>
      <w:r w:rsidR="00AB67D8">
        <w:rPr>
          <w:rFonts w:ascii="Times New Roman" w:hAnsi="Times New Roman" w:cs="Times New Roman"/>
          <w:sz w:val="26"/>
          <w:szCs w:val="26"/>
        </w:rPr>
        <w:t>:</w:t>
      </w:r>
    </w:p>
    <w:p w:rsidR="00DC44C3" w:rsidRPr="0019079D" w:rsidRDefault="00DC44C3" w:rsidP="00D82BBE">
      <w:pPr>
        <w:pStyle w:val="a8"/>
        <w:tabs>
          <w:tab w:val="left" w:pos="709"/>
        </w:tabs>
        <w:ind w:leftChars="0" w:left="709"/>
        <w:jc w:val="both"/>
        <w:rPr>
          <w:rFonts w:ascii="Times New Roman" w:hAnsi="Times New Roman" w:cs="Times New Roman"/>
          <w:sz w:val="26"/>
          <w:szCs w:val="26"/>
        </w:rPr>
      </w:pPr>
    </w:p>
    <w:p w:rsidR="006E362D" w:rsidRPr="0019079D" w:rsidRDefault="000111CB" w:rsidP="00C5597F">
      <w:pPr>
        <w:pStyle w:val="a8"/>
        <w:numPr>
          <w:ilvl w:val="0"/>
          <w:numId w:val="2"/>
        </w:numPr>
        <w:tabs>
          <w:tab w:val="left" w:pos="1418"/>
        </w:tabs>
        <w:ind w:leftChars="295" w:left="1418" w:hanging="710"/>
        <w:jc w:val="both"/>
        <w:rPr>
          <w:rFonts w:ascii="Times New Roman" w:hAnsi="Times New Roman" w:cs="Times New Roman"/>
          <w:sz w:val="26"/>
          <w:szCs w:val="26"/>
        </w:rPr>
      </w:pPr>
      <w:r>
        <w:rPr>
          <w:rFonts w:ascii="Times New Roman" w:hAnsi="Times New Roman" w:cs="Times New Roman"/>
          <w:sz w:val="26"/>
          <w:szCs w:val="26"/>
        </w:rPr>
        <w:t>The period for raising objections as specified in General Standard 4(a) is not applicable in the Hong Kong context and the period for raising the relevant objections should be the period specified in the relevant ANB adjudication rules</w:t>
      </w:r>
      <w:r w:rsidR="006E5857">
        <w:rPr>
          <w:rFonts w:ascii="Times New Roman" w:hAnsi="Times New Roman" w:cs="Times New Roman"/>
          <w:sz w:val="26"/>
          <w:szCs w:val="26"/>
        </w:rPr>
        <w:t xml:space="preserve"> or the period specified by the relevant ANB in accordance with its rules</w:t>
      </w:r>
      <w:r w:rsidR="00C5597F">
        <w:rPr>
          <w:rFonts w:ascii="Times New Roman" w:hAnsi="Times New Roman" w:cs="Times New Roman"/>
          <w:sz w:val="26"/>
          <w:szCs w:val="26"/>
        </w:rPr>
        <w:t>.</w:t>
      </w:r>
    </w:p>
    <w:p w:rsidR="00C5597F" w:rsidRDefault="00C5597F" w:rsidP="00C5597F">
      <w:pPr>
        <w:pStyle w:val="a8"/>
        <w:tabs>
          <w:tab w:val="left" w:pos="1418"/>
        </w:tabs>
        <w:ind w:leftChars="0" w:left="1418"/>
        <w:jc w:val="both"/>
        <w:rPr>
          <w:rFonts w:ascii="Times New Roman" w:hAnsi="Times New Roman" w:cs="Times New Roman" w:hint="eastAsia"/>
          <w:sz w:val="26"/>
          <w:szCs w:val="26"/>
        </w:rPr>
      </w:pPr>
    </w:p>
    <w:p w:rsidR="00867437" w:rsidRPr="0019079D" w:rsidRDefault="00867437" w:rsidP="00C5597F">
      <w:pPr>
        <w:pStyle w:val="a8"/>
        <w:numPr>
          <w:ilvl w:val="0"/>
          <w:numId w:val="2"/>
        </w:numPr>
        <w:tabs>
          <w:tab w:val="left" w:pos="1418"/>
        </w:tabs>
        <w:ind w:leftChars="295" w:left="1418" w:hanging="710"/>
        <w:jc w:val="both"/>
        <w:rPr>
          <w:rFonts w:ascii="Times New Roman" w:hAnsi="Times New Roman" w:cs="Times New Roman"/>
          <w:sz w:val="26"/>
          <w:szCs w:val="26"/>
        </w:rPr>
      </w:pPr>
      <w:r w:rsidRPr="0019079D">
        <w:rPr>
          <w:rFonts w:ascii="Times New Roman" w:hAnsi="Times New Roman" w:cs="Times New Roman"/>
          <w:sz w:val="26"/>
          <w:szCs w:val="26"/>
        </w:rPr>
        <w:t xml:space="preserve">In order to cope with the timeframe (7 working days) for nomination and appointment of adjudicator in accordance with the Ordinance, wavier by express agreement of the parties as allowed under </w:t>
      </w:r>
      <w:r w:rsidR="00CA37F8" w:rsidRPr="0019079D">
        <w:rPr>
          <w:rFonts w:ascii="Times New Roman" w:hAnsi="Times New Roman" w:cs="Times New Roman"/>
          <w:sz w:val="26"/>
          <w:szCs w:val="26"/>
        </w:rPr>
        <w:t>General Standard 4(c)</w:t>
      </w:r>
      <w:r w:rsidR="000111CB">
        <w:rPr>
          <w:rFonts w:ascii="Times New Roman" w:hAnsi="Times New Roman" w:cs="Times New Roman"/>
          <w:sz w:val="26"/>
          <w:szCs w:val="26"/>
        </w:rPr>
        <w:t xml:space="preserve"> is not applicable in the Hong Kong context</w:t>
      </w:r>
      <w:r w:rsidR="00C5597F">
        <w:rPr>
          <w:rFonts w:ascii="Times New Roman" w:hAnsi="Times New Roman" w:cs="Times New Roman"/>
          <w:sz w:val="26"/>
          <w:szCs w:val="26"/>
        </w:rPr>
        <w:t>.</w:t>
      </w:r>
    </w:p>
    <w:p w:rsidR="00C5597F" w:rsidRDefault="00C5597F" w:rsidP="00C5597F">
      <w:pPr>
        <w:pStyle w:val="a8"/>
        <w:tabs>
          <w:tab w:val="left" w:pos="1418"/>
        </w:tabs>
        <w:ind w:leftChars="0" w:left="1418"/>
        <w:jc w:val="both"/>
        <w:rPr>
          <w:rFonts w:ascii="Times New Roman" w:hAnsi="Times New Roman" w:cs="Times New Roman" w:hint="eastAsia"/>
          <w:sz w:val="26"/>
          <w:szCs w:val="26"/>
        </w:rPr>
      </w:pPr>
    </w:p>
    <w:p w:rsidR="00CA37F8" w:rsidRPr="0019079D" w:rsidRDefault="000F3022" w:rsidP="00C5597F">
      <w:pPr>
        <w:pStyle w:val="a8"/>
        <w:numPr>
          <w:ilvl w:val="0"/>
          <w:numId w:val="2"/>
        </w:numPr>
        <w:tabs>
          <w:tab w:val="left" w:pos="1418"/>
        </w:tabs>
        <w:ind w:leftChars="295" w:left="1418" w:hanging="710"/>
        <w:jc w:val="both"/>
        <w:rPr>
          <w:rFonts w:ascii="Times New Roman" w:hAnsi="Times New Roman" w:cs="Times New Roman"/>
          <w:sz w:val="26"/>
          <w:szCs w:val="26"/>
        </w:rPr>
      </w:pPr>
      <w:r w:rsidRPr="0019079D">
        <w:rPr>
          <w:rFonts w:ascii="Times New Roman" w:hAnsi="Times New Roman" w:cs="Times New Roman"/>
          <w:sz w:val="26"/>
          <w:szCs w:val="26"/>
        </w:rPr>
        <w:t xml:space="preserve">General Standard 4(d) </w:t>
      </w:r>
      <w:r w:rsidR="000111CB">
        <w:rPr>
          <w:rFonts w:ascii="Times New Roman" w:hAnsi="Times New Roman" w:cs="Times New Roman"/>
          <w:sz w:val="26"/>
          <w:szCs w:val="26"/>
        </w:rPr>
        <w:t>is not applicable in the Hong Kong context</w:t>
      </w:r>
      <w:r w:rsidR="00D82BBE">
        <w:rPr>
          <w:rFonts w:ascii="Times New Roman" w:hAnsi="Times New Roman" w:cs="Times New Roman"/>
          <w:sz w:val="26"/>
          <w:szCs w:val="26"/>
        </w:rPr>
        <w:t xml:space="preserve"> as the circumstances depicted therein amount to conflict of interest which cannot be waived by express agreement</w:t>
      </w:r>
      <w:r w:rsidRPr="0019079D">
        <w:rPr>
          <w:rFonts w:ascii="Times New Roman" w:hAnsi="Times New Roman" w:cs="Times New Roman"/>
          <w:sz w:val="26"/>
          <w:szCs w:val="26"/>
        </w:rPr>
        <w:t>.</w:t>
      </w:r>
    </w:p>
    <w:p w:rsidR="00C5597F" w:rsidRDefault="00C5597F" w:rsidP="00C5597F">
      <w:pPr>
        <w:pStyle w:val="a8"/>
        <w:tabs>
          <w:tab w:val="left" w:pos="1418"/>
        </w:tabs>
        <w:ind w:leftChars="0" w:left="1418"/>
        <w:jc w:val="both"/>
        <w:rPr>
          <w:rFonts w:ascii="Times New Roman" w:hAnsi="Times New Roman" w:cs="Times New Roman" w:hint="eastAsia"/>
          <w:sz w:val="26"/>
          <w:szCs w:val="26"/>
        </w:rPr>
      </w:pPr>
    </w:p>
    <w:p w:rsidR="00743CAA" w:rsidRPr="0019079D" w:rsidRDefault="00743CAA" w:rsidP="00C5597F">
      <w:pPr>
        <w:pStyle w:val="a8"/>
        <w:numPr>
          <w:ilvl w:val="0"/>
          <w:numId w:val="2"/>
        </w:numPr>
        <w:tabs>
          <w:tab w:val="left" w:pos="1418"/>
        </w:tabs>
        <w:ind w:leftChars="295" w:left="1418" w:hanging="710"/>
        <w:jc w:val="both"/>
        <w:rPr>
          <w:rFonts w:ascii="Times New Roman" w:hAnsi="Times New Roman" w:cs="Times New Roman"/>
          <w:sz w:val="26"/>
          <w:szCs w:val="26"/>
        </w:rPr>
      </w:pPr>
      <w:r w:rsidRPr="0019079D">
        <w:rPr>
          <w:rFonts w:ascii="Times New Roman" w:hAnsi="Times New Roman" w:cs="Times New Roman"/>
          <w:sz w:val="26"/>
          <w:szCs w:val="26"/>
        </w:rPr>
        <w:t>Given that the adjudicator nominating process needs to be completed within 7 working days after the adjudication notice is served on the ANB, the duty to investigate relevant information to fulfil the duty of disclosure as set out in General Standard 7(d), and the relevant explanation</w:t>
      </w:r>
      <w:r w:rsidR="00D119F6">
        <w:rPr>
          <w:rFonts w:ascii="Times New Roman" w:hAnsi="Times New Roman" w:cs="Times New Roman"/>
          <w:sz w:val="26"/>
          <w:szCs w:val="26"/>
        </w:rPr>
        <w:t>s</w:t>
      </w:r>
      <w:r w:rsidRPr="0019079D">
        <w:rPr>
          <w:rFonts w:ascii="Times New Roman" w:hAnsi="Times New Roman" w:cs="Times New Roman"/>
          <w:sz w:val="26"/>
          <w:szCs w:val="26"/>
        </w:rPr>
        <w:t xml:space="preserve">, shall </w:t>
      </w:r>
      <w:r w:rsidR="000111CB">
        <w:rPr>
          <w:rFonts w:ascii="Times New Roman" w:hAnsi="Times New Roman" w:cs="Times New Roman"/>
          <w:sz w:val="26"/>
          <w:szCs w:val="26"/>
        </w:rPr>
        <w:t xml:space="preserve">be limited </w:t>
      </w:r>
      <w:r w:rsidRPr="0019079D">
        <w:rPr>
          <w:rFonts w:ascii="Times New Roman" w:hAnsi="Times New Roman" w:cs="Times New Roman"/>
          <w:sz w:val="26"/>
          <w:szCs w:val="26"/>
        </w:rPr>
        <w:t>to the extent of what is reasonably practicable within the period of time allowed during the nomination and appointment process.</w:t>
      </w:r>
    </w:p>
    <w:p w:rsidR="00CC407C" w:rsidRPr="0019079D" w:rsidRDefault="00CC407C" w:rsidP="00D82BBE">
      <w:pPr>
        <w:tabs>
          <w:tab w:val="left" w:pos="709"/>
        </w:tabs>
        <w:jc w:val="both"/>
        <w:rPr>
          <w:rFonts w:ascii="Times New Roman" w:hAnsi="Times New Roman" w:cs="Times New Roman"/>
          <w:sz w:val="26"/>
          <w:szCs w:val="26"/>
        </w:rPr>
      </w:pPr>
    </w:p>
    <w:p w:rsidR="00CC407C" w:rsidRPr="0019079D" w:rsidRDefault="00CC407C" w:rsidP="00D82BBE">
      <w:pPr>
        <w:tabs>
          <w:tab w:val="left" w:pos="709"/>
        </w:tabs>
        <w:jc w:val="both"/>
        <w:rPr>
          <w:rFonts w:ascii="Times New Roman" w:hAnsi="Times New Roman" w:cs="Times New Roman"/>
          <w:b/>
          <w:sz w:val="26"/>
          <w:szCs w:val="26"/>
        </w:rPr>
      </w:pPr>
      <w:r w:rsidRPr="0019079D">
        <w:rPr>
          <w:rFonts w:ascii="Times New Roman" w:hAnsi="Times New Roman" w:cs="Times New Roman"/>
          <w:b/>
          <w:sz w:val="26"/>
          <w:szCs w:val="26"/>
        </w:rPr>
        <w:lastRenderedPageBreak/>
        <w:t xml:space="preserve">Part II of </w:t>
      </w:r>
      <w:r w:rsidRPr="0019079D">
        <w:rPr>
          <w:rFonts w:ascii="Times New Roman" w:hAnsi="Times New Roman" w:cs="Times New Roman" w:hint="eastAsia"/>
          <w:b/>
          <w:sz w:val="26"/>
          <w:szCs w:val="26"/>
        </w:rPr>
        <w:t>the IBA Guidelines</w:t>
      </w:r>
    </w:p>
    <w:p w:rsidR="002B02F9" w:rsidRPr="0019079D" w:rsidRDefault="002B02F9" w:rsidP="00D82BBE">
      <w:pPr>
        <w:tabs>
          <w:tab w:val="left" w:pos="709"/>
        </w:tabs>
        <w:jc w:val="both"/>
        <w:rPr>
          <w:rFonts w:ascii="Times New Roman" w:hAnsi="Times New Roman" w:cs="Times New Roman"/>
          <w:sz w:val="26"/>
          <w:szCs w:val="26"/>
        </w:rPr>
      </w:pPr>
    </w:p>
    <w:p w:rsidR="0068036A" w:rsidRDefault="00EE7CC6" w:rsidP="00D82BBE">
      <w:pPr>
        <w:pStyle w:val="a8"/>
        <w:numPr>
          <w:ilvl w:val="0"/>
          <w:numId w:val="1"/>
        </w:numPr>
        <w:tabs>
          <w:tab w:val="left" w:pos="709"/>
        </w:tabs>
        <w:ind w:leftChars="0" w:left="709" w:hanging="709"/>
        <w:jc w:val="both"/>
        <w:rPr>
          <w:rFonts w:ascii="Times New Roman" w:hAnsi="Times New Roman" w:cs="Times New Roman"/>
          <w:sz w:val="26"/>
          <w:szCs w:val="26"/>
        </w:rPr>
      </w:pPr>
      <w:r>
        <w:rPr>
          <w:rFonts w:ascii="Times New Roman" w:hAnsi="Times New Roman" w:cs="Times New Roman"/>
          <w:sz w:val="26"/>
          <w:szCs w:val="26"/>
        </w:rPr>
        <w:t>A</w:t>
      </w:r>
      <w:r w:rsidR="00062001">
        <w:rPr>
          <w:rFonts w:ascii="Times New Roman" w:hAnsi="Times New Roman" w:cs="Times New Roman"/>
          <w:sz w:val="26"/>
          <w:szCs w:val="26"/>
        </w:rPr>
        <w:t xml:space="preserve">djudicators and ANB </w:t>
      </w:r>
      <w:r>
        <w:rPr>
          <w:rFonts w:ascii="Times New Roman" w:hAnsi="Times New Roman" w:cs="Times New Roman"/>
          <w:sz w:val="26"/>
          <w:szCs w:val="26"/>
        </w:rPr>
        <w:t xml:space="preserve">should follow </w:t>
      </w:r>
      <w:r w:rsidR="00C50850" w:rsidRPr="0019079D">
        <w:rPr>
          <w:rFonts w:ascii="Times New Roman" w:hAnsi="Times New Roman" w:cs="Times New Roman"/>
          <w:sz w:val="26"/>
          <w:szCs w:val="26"/>
        </w:rPr>
        <w:t xml:space="preserve">Part II of the IBA Guidelines, except for </w:t>
      </w:r>
      <w:r w:rsidR="009413D0" w:rsidRPr="0019079D">
        <w:rPr>
          <w:rFonts w:ascii="Times New Roman" w:hAnsi="Times New Roman" w:cs="Times New Roman"/>
          <w:sz w:val="26"/>
          <w:szCs w:val="26"/>
        </w:rPr>
        <w:t xml:space="preserve">the </w:t>
      </w:r>
      <w:r w:rsidR="0019079D" w:rsidRPr="0019079D">
        <w:rPr>
          <w:rFonts w:ascii="Times New Roman" w:hAnsi="Times New Roman" w:cs="Times New Roman"/>
          <w:sz w:val="26"/>
          <w:szCs w:val="26"/>
        </w:rPr>
        <w:t>‘</w:t>
      </w:r>
      <w:proofErr w:type="spellStart"/>
      <w:r w:rsidR="009413D0" w:rsidRPr="0019079D">
        <w:rPr>
          <w:rFonts w:ascii="Times New Roman" w:hAnsi="Times New Roman" w:cs="Times New Roman"/>
          <w:sz w:val="26"/>
          <w:szCs w:val="26"/>
        </w:rPr>
        <w:t>W</w:t>
      </w:r>
      <w:r w:rsidR="00BB091D" w:rsidRPr="0019079D">
        <w:rPr>
          <w:rFonts w:ascii="Times New Roman" w:hAnsi="Times New Roman" w:cs="Times New Roman"/>
          <w:sz w:val="26"/>
          <w:szCs w:val="26"/>
        </w:rPr>
        <w:t>aivable</w:t>
      </w:r>
      <w:proofErr w:type="spellEnd"/>
      <w:r w:rsidR="00BB091D" w:rsidRPr="0019079D">
        <w:rPr>
          <w:rFonts w:ascii="Times New Roman" w:hAnsi="Times New Roman" w:cs="Times New Roman"/>
          <w:sz w:val="26"/>
          <w:szCs w:val="26"/>
        </w:rPr>
        <w:t xml:space="preserve"> Red List</w:t>
      </w:r>
      <w:r w:rsidR="0019079D" w:rsidRPr="0019079D">
        <w:rPr>
          <w:rFonts w:ascii="Times New Roman" w:hAnsi="Times New Roman" w:cs="Times New Roman"/>
          <w:sz w:val="26"/>
          <w:szCs w:val="26"/>
        </w:rPr>
        <w:t>’</w:t>
      </w:r>
      <w:r w:rsidR="00BB091D" w:rsidRPr="0019079D">
        <w:rPr>
          <w:rFonts w:ascii="Times New Roman" w:hAnsi="Times New Roman" w:cs="Times New Roman"/>
          <w:sz w:val="26"/>
          <w:szCs w:val="26"/>
        </w:rPr>
        <w:t xml:space="preserve"> and the provisions </w:t>
      </w:r>
      <w:r w:rsidR="000111CB">
        <w:rPr>
          <w:rFonts w:ascii="Times New Roman" w:hAnsi="Times New Roman" w:cs="Times New Roman"/>
          <w:sz w:val="26"/>
          <w:szCs w:val="26"/>
        </w:rPr>
        <w:t>relating</w:t>
      </w:r>
      <w:r w:rsidR="00BB091D" w:rsidRPr="0019079D">
        <w:rPr>
          <w:rFonts w:ascii="Times New Roman" w:hAnsi="Times New Roman" w:cs="Times New Roman"/>
          <w:sz w:val="26"/>
          <w:szCs w:val="26"/>
        </w:rPr>
        <w:t xml:space="preserve"> to </w:t>
      </w:r>
      <w:r w:rsidR="000111CB">
        <w:rPr>
          <w:rFonts w:ascii="Times New Roman" w:hAnsi="Times New Roman" w:cs="Times New Roman"/>
          <w:sz w:val="26"/>
          <w:szCs w:val="26"/>
        </w:rPr>
        <w:t xml:space="preserve">the </w:t>
      </w:r>
      <w:r w:rsidR="0019079D" w:rsidRPr="0019079D">
        <w:rPr>
          <w:rFonts w:ascii="Times New Roman" w:hAnsi="Times New Roman" w:cs="Times New Roman"/>
          <w:sz w:val="26"/>
          <w:szCs w:val="26"/>
        </w:rPr>
        <w:t>‘</w:t>
      </w:r>
      <w:proofErr w:type="spellStart"/>
      <w:r w:rsidR="00BB091D" w:rsidRPr="0019079D">
        <w:rPr>
          <w:rFonts w:ascii="Times New Roman" w:hAnsi="Times New Roman" w:cs="Times New Roman"/>
          <w:sz w:val="26"/>
          <w:szCs w:val="26"/>
        </w:rPr>
        <w:t>Waivable</w:t>
      </w:r>
      <w:proofErr w:type="spellEnd"/>
      <w:r w:rsidR="00BB091D" w:rsidRPr="0019079D">
        <w:rPr>
          <w:rFonts w:ascii="Times New Roman" w:hAnsi="Times New Roman" w:cs="Times New Roman"/>
          <w:sz w:val="26"/>
          <w:szCs w:val="26"/>
        </w:rPr>
        <w:t xml:space="preserve"> Red List</w:t>
      </w:r>
      <w:r w:rsidR="0019079D" w:rsidRPr="0019079D">
        <w:rPr>
          <w:rFonts w:ascii="Times New Roman" w:hAnsi="Times New Roman" w:cs="Times New Roman"/>
          <w:sz w:val="26"/>
          <w:szCs w:val="26"/>
        </w:rPr>
        <w:t>’</w:t>
      </w:r>
      <w:r w:rsidR="00B51F65">
        <w:rPr>
          <w:rFonts w:ascii="Times New Roman" w:hAnsi="Times New Roman" w:cs="Times New Roman"/>
          <w:sz w:val="26"/>
          <w:szCs w:val="26"/>
        </w:rPr>
        <w:t>, with necessary modifications</w:t>
      </w:r>
      <w:r w:rsidR="00062001">
        <w:rPr>
          <w:rFonts w:ascii="Times New Roman" w:hAnsi="Times New Roman" w:cs="Times New Roman"/>
          <w:sz w:val="26"/>
          <w:szCs w:val="26"/>
        </w:rPr>
        <w:t xml:space="preserve"> and the express deviations set out in paragraphs </w:t>
      </w:r>
      <w:r w:rsidR="006E5857">
        <w:rPr>
          <w:rFonts w:ascii="Times New Roman" w:hAnsi="Times New Roman" w:cs="Times New Roman"/>
          <w:sz w:val="26"/>
          <w:szCs w:val="26"/>
        </w:rPr>
        <w:t xml:space="preserve">7 – 9 </w:t>
      </w:r>
      <w:r w:rsidR="00062001">
        <w:rPr>
          <w:rFonts w:ascii="Times New Roman" w:hAnsi="Times New Roman" w:cs="Times New Roman"/>
          <w:sz w:val="26"/>
          <w:szCs w:val="26"/>
        </w:rPr>
        <w:t>below</w:t>
      </w:r>
      <w:r w:rsidR="00B51F65">
        <w:rPr>
          <w:rFonts w:ascii="Times New Roman" w:hAnsi="Times New Roman" w:cs="Times New Roman"/>
          <w:sz w:val="26"/>
          <w:szCs w:val="26"/>
        </w:rPr>
        <w:t xml:space="preserve">, to the </w:t>
      </w:r>
      <w:r w:rsidR="00062001">
        <w:rPr>
          <w:rFonts w:ascii="Times New Roman" w:hAnsi="Times New Roman" w:cs="Times New Roman"/>
          <w:sz w:val="26"/>
          <w:szCs w:val="26"/>
        </w:rPr>
        <w:t xml:space="preserve">performance of the </w:t>
      </w:r>
      <w:r>
        <w:rPr>
          <w:rFonts w:ascii="Times New Roman" w:hAnsi="Times New Roman" w:cs="Times New Roman"/>
          <w:sz w:val="26"/>
          <w:szCs w:val="26"/>
        </w:rPr>
        <w:t>Requirements</w:t>
      </w:r>
    </w:p>
    <w:p w:rsidR="00062001" w:rsidRDefault="00062001" w:rsidP="00D82BBE">
      <w:pPr>
        <w:pStyle w:val="a8"/>
        <w:tabs>
          <w:tab w:val="left" w:pos="709"/>
        </w:tabs>
        <w:ind w:leftChars="0" w:left="709"/>
        <w:jc w:val="both"/>
        <w:rPr>
          <w:rFonts w:ascii="Times New Roman" w:hAnsi="Times New Roman" w:cs="Times New Roman"/>
          <w:sz w:val="26"/>
          <w:szCs w:val="26"/>
        </w:rPr>
      </w:pPr>
    </w:p>
    <w:p w:rsidR="00062001" w:rsidRDefault="00062001" w:rsidP="00D82BBE">
      <w:pPr>
        <w:pStyle w:val="a8"/>
        <w:numPr>
          <w:ilvl w:val="0"/>
          <w:numId w:val="1"/>
        </w:numPr>
        <w:tabs>
          <w:tab w:val="left" w:pos="709"/>
        </w:tabs>
        <w:ind w:leftChars="0" w:left="709" w:hanging="709"/>
        <w:jc w:val="both"/>
        <w:rPr>
          <w:rFonts w:ascii="Times New Roman" w:hAnsi="Times New Roman" w:cs="Times New Roman"/>
          <w:sz w:val="26"/>
          <w:szCs w:val="26"/>
        </w:rPr>
      </w:pPr>
      <w:r>
        <w:rPr>
          <w:rFonts w:ascii="Times New Roman" w:hAnsi="Times New Roman" w:cs="Times New Roman" w:hint="eastAsia"/>
          <w:sz w:val="26"/>
          <w:szCs w:val="26"/>
        </w:rPr>
        <w:t xml:space="preserve">The situations listed in items 2.1.1 and </w:t>
      </w:r>
      <w:r>
        <w:rPr>
          <w:rFonts w:ascii="Times New Roman" w:hAnsi="Times New Roman" w:cs="Times New Roman"/>
          <w:sz w:val="26"/>
          <w:szCs w:val="26"/>
        </w:rPr>
        <w:t>2.1.2 under “</w:t>
      </w:r>
      <w:proofErr w:type="spellStart"/>
      <w:r>
        <w:rPr>
          <w:rFonts w:ascii="Times New Roman" w:hAnsi="Times New Roman" w:cs="Times New Roman"/>
          <w:sz w:val="26"/>
          <w:szCs w:val="26"/>
        </w:rPr>
        <w:t>Waivable</w:t>
      </w:r>
      <w:proofErr w:type="spellEnd"/>
      <w:r>
        <w:rPr>
          <w:rFonts w:ascii="Times New Roman" w:hAnsi="Times New Roman" w:cs="Times New Roman"/>
          <w:sz w:val="26"/>
          <w:szCs w:val="26"/>
        </w:rPr>
        <w:t xml:space="preserve"> Red List” should be regarded as situation</w:t>
      </w:r>
      <w:r w:rsidR="00B64A70">
        <w:rPr>
          <w:rFonts w:ascii="Times New Roman" w:hAnsi="Times New Roman" w:cs="Times New Roman"/>
          <w:sz w:val="26"/>
          <w:szCs w:val="26"/>
        </w:rPr>
        <w:t>s</w:t>
      </w:r>
      <w:r>
        <w:rPr>
          <w:rFonts w:ascii="Times New Roman" w:hAnsi="Times New Roman" w:cs="Times New Roman"/>
          <w:sz w:val="26"/>
          <w:szCs w:val="26"/>
        </w:rPr>
        <w:t xml:space="preserve"> under “Non-</w:t>
      </w:r>
      <w:proofErr w:type="spellStart"/>
      <w:r w:rsidR="000A76D1">
        <w:rPr>
          <w:rFonts w:ascii="Times New Roman" w:hAnsi="Times New Roman" w:cs="Times New Roman"/>
          <w:sz w:val="26"/>
          <w:szCs w:val="26"/>
        </w:rPr>
        <w:t>Waivable</w:t>
      </w:r>
      <w:proofErr w:type="spellEnd"/>
      <w:r>
        <w:rPr>
          <w:rFonts w:ascii="Times New Roman" w:hAnsi="Times New Roman" w:cs="Times New Roman"/>
          <w:sz w:val="26"/>
          <w:szCs w:val="26"/>
        </w:rPr>
        <w:t xml:space="preserve"> Red List” in the Hong Kong context.</w:t>
      </w:r>
    </w:p>
    <w:p w:rsidR="00B64A70" w:rsidRDefault="00B64A70" w:rsidP="00B64A70">
      <w:pPr>
        <w:pStyle w:val="a8"/>
        <w:tabs>
          <w:tab w:val="left" w:pos="709"/>
        </w:tabs>
        <w:ind w:leftChars="0" w:left="709"/>
        <w:jc w:val="both"/>
        <w:rPr>
          <w:rFonts w:ascii="Times New Roman" w:hAnsi="Times New Roman" w:cs="Times New Roman" w:hint="eastAsia"/>
          <w:sz w:val="26"/>
          <w:szCs w:val="26"/>
        </w:rPr>
      </w:pPr>
    </w:p>
    <w:p w:rsidR="00062001" w:rsidRDefault="00062001" w:rsidP="00D82BBE">
      <w:pPr>
        <w:pStyle w:val="a8"/>
        <w:numPr>
          <w:ilvl w:val="0"/>
          <w:numId w:val="1"/>
        </w:numPr>
        <w:tabs>
          <w:tab w:val="left" w:pos="709"/>
        </w:tabs>
        <w:ind w:leftChars="0" w:left="709" w:hanging="709"/>
        <w:jc w:val="both"/>
        <w:rPr>
          <w:rFonts w:ascii="Times New Roman" w:hAnsi="Times New Roman" w:cs="Times New Roman"/>
          <w:sz w:val="26"/>
          <w:szCs w:val="26"/>
        </w:rPr>
      </w:pPr>
      <w:r>
        <w:rPr>
          <w:rFonts w:ascii="Times New Roman" w:hAnsi="Times New Roman" w:cs="Times New Roman" w:hint="eastAsia"/>
          <w:sz w:val="26"/>
          <w:szCs w:val="26"/>
        </w:rPr>
        <w:t xml:space="preserve">The situations listed in items </w:t>
      </w:r>
      <w:r w:rsidR="00B64A70">
        <w:rPr>
          <w:rFonts w:ascii="Times New Roman" w:hAnsi="Times New Roman" w:cs="Times New Roman"/>
          <w:sz w:val="26"/>
          <w:szCs w:val="26"/>
        </w:rPr>
        <w:t>2.2.1 to 2.3.8</w:t>
      </w:r>
      <w:r>
        <w:rPr>
          <w:rFonts w:ascii="Times New Roman" w:hAnsi="Times New Roman" w:cs="Times New Roman"/>
          <w:sz w:val="26"/>
          <w:szCs w:val="26"/>
        </w:rPr>
        <w:t xml:space="preserve"> under “</w:t>
      </w:r>
      <w:proofErr w:type="spellStart"/>
      <w:r>
        <w:rPr>
          <w:rFonts w:ascii="Times New Roman" w:hAnsi="Times New Roman" w:cs="Times New Roman"/>
          <w:sz w:val="26"/>
          <w:szCs w:val="26"/>
        </w:rPr>
        <w:t>Waivable</w:t>
      </w:r>
      <w:proofErr w:type="spellEnd"/>
      <w:r>
        <w:rPr>
          <w:rFonts w:ascii="Times New Roman" w:hAnsi="Times New Roman" w:cs="Times New Roman"/>
          <w:sz w:val="26"/>
          <w:szCs w:val="26"/>
        </w:rPr>
        <w:t xml:space="preserve"> Red List” should be regarded as situation</w:t>
      </w:r>
      <w:r w:rsidR="00D66CFF">
        <w:rPr>
          <w:rFonts w:ascii="Times New Roman" w:hAnsi="Times New Roman" w:cs="Times New Roman"/>
          <w:sz w:val="26"/>
          <w:szCs w:val="26"/>
        </w:rPr>
        <w:t>s</w:t>
      </w:r>
      <w:bookmarkStart w:id="0" w:name="_GoBack"/>
      <w:bookmarkEnd w:id="0"/>
      <w:r>
        <w:rPr>
          <w:rFonts w:ascii="Times New Roman" w:hAnsi="Times New Roman" w:cs="Times New Roman"/>
          <w:sz w:val="26"/>
          <w:szCs w:val="26"/>
        </w:rPr>
        <w:t xml:space="preserve"> under “Orange List” in the Hong Kong context.</w:t>
      </w:r>
    </w:p>
    <w:p w:rsidR="00B64A70" w:rsidRDefault="00B64A70" w:rsidP="00B64A70">
      <w:pPr>
        <w:pStyle w:val="a8"/>
        <w:tabs>
          <w:tab w:val="left" w:pos="709"/>
        </w:tabs>
        <w:ind w:leftChars="0" w:left="709"/>
        <w:jc w:val="both"/>
        <w:rPr>
          <w:rFonts w:ascii="Times New Roman" w:hAnsi="Times New Roman" w:cs="Times New Roman" w:hint="eastAsia"/>
          <w:sz w:val="26"/>
          <w:szCs w:val="26"/>
        </w:rPr>
      </w:pPr>
    </w:p>
    <w:p w:rsidR="0019079D" w:rsidRDefault="00062001" w:rsidP="00D82BBE">
      <w:pPr>
        <w:pStyle w:val="a8"/>
        <w:numPr>
          <w:ilvl w:val="0"/>
          <w:numId w:val="1"/>
        </w:numPr>
        <w:tabs>
          <w:tab w:val="left" w:pos="709"/>
        </w:tabs>
        <w:ind w:leftChars="0" w:left="709" w:hanging="709"/>
        <w:jc w:val="both"/>
        <w:rPr>
          <w:rFonts w:ascii="Times New Roman" w:hAnsi="Times New Roman" w:cs="Times New Roman"/>
          <w:sz w:val="26"/>
          <w:szCs w:val="26"/>
        </w:rPr>
      </w:pPr>
      <w:r w:rsidRPr="00062001">
        <w:rPr>
          <w:rFonts w:ascii="Times New Roman" w:hAnsi="Times New Roman" w:cs="Times New Roman"/>
          <w:sz w:val="26"/>
          <w:szCs w:val="26"/>
        </w:rPr>
        <w:t>The situation listed in i</w:t>
      </w:r>
      <w:r w:rsidR="00672358" w:rsidRPr="00062001">
        <w:rPr>
          <w:rFonts w:ascii="Times New Roman" w:hAnsi="Times New Roman" w:cs="Times New Roman"/>
          <w:sz w:val="26"/>
          <w:szCs w:val="26"/>
        </w:rPr>
        <w:t xml:space="preserve">tem 3.2.2 </w:t>
      </w:r>
      <w:r w:rsidRPr="00062001">
        <w:rPr>
          <w:rFonts w:ascii="Times New Roman" w:hAnsi="Times New Roman" w:cs="Times New Roman"/>
          <w:sz w:val="26"/>
          <w:szCs w:val="26"/>
        </w:rPr>
        <w:t>under the “Orange List” should be regarded as situation under the “Green L</w:t>
      </w:r>
      <w:r w:rsidR="00115714">
        <w:rPr>
          <w:rFonts w:ascii="Times New Roman" w:hAnsi="Times New Roman" w:cs="Times New Roman"/>
          <w:sz w:val="26"/>
          <w:szCs w:val="26"/>
        </w:rPr>
        <w:t>ist” in the Hong Kong context.</w:t>
      </w:r>
    </w:p>
    <w:p w:rsidR="00D82BBE" w:rsidRPr="00D82BBE" w:rsidRDefault="00D82BBE" w:rsidP="00D82BBE">
      <w:pPr>
        <w:tabs>
          <w:tab w:val="left" w:pos="709"/>
        </w:tabs>
        <w:jc w:val="both"/>
        <w:rPr>
          <w:rFonts w:ascii="Times New Roman" w:hAnsi="Times New Roman" w:cs="Times New Roman"/>
          <w:sz w:val="26"/>
          <w:szCs w:val="26"/>
        </w:rPr>
      </w:pPr>
    </w:p>
    <w:p w:rsidR="00B93296" w:rsidRPr="002B02F9" w:rsidRDefault="002B02F9" w:rsidP="00D82BBE">
      <w:pPr>
        <w:jc w:val="both"/>
        <w:rPr>
          <w:rFonts w:ascii="Times New Roman" w:hAnsi="Times New Roman" w:cs="Times New Roman"/>
          <w:b/>
          <w:sz w:val="26"/>
          <w:szCs w:val="26"/>
        </w:rPr>
      </w:pPr>
      <w:r w:rsidRPr="002B02F9">
        <w:rPr>
          <w:rFonts w:ascii="Times New Roman" w:hAnsi="Times New Roman" w:cs="Times New Roman" w:hint="eastAsia"/>
          <w:b/>
          <w:sz w:val="26"/>
          <w:szCs w:val="26"/>
        </w:rPr>
        <w:t>Development Bureau</w:t>
      </w:r>
    </w:p>
    <w:p w:rsidR="00B93296" w:rsidRPr="00B93296" w:rsidRDefault="002B02F9" w:rsidP="00D82BBE">
      <w:pPr>
        <w:jc w:val="both"/>
        <w:rPr>
          <w:rFonts w:ascii="Times New Roman" w:hAnsi="Times New Roman" w:cs="Times New Roman"/>
          <w:sz w:val="26"/>
          <w:szCs w:val="26"/>
        </w:rPr>
      </w:pPr>
      <w:r w:rsidRPr="002B02F9">
        <w:rPr>
          <w:rFonts w:ascii="Times New Roman" w:hAnsi="Times New Roman" w:cs="Times New Roman"/>
          <w:b/>
          <w:sz w:val="26"/>
          <w:szCs w:val="26"/>
        </w:rPr>
        <w:t>June 2025</w:t>
      </w:r>
    </w:p>
    <w:sectPr w:rsidR="00B93296" w:rsidRPr="00B93296">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257" w:rsidRDefault="004A1257" w:rsidP="00B93296">
      <w:r>
        <w:separator/>
      </w:r>
    </w:p>
  </w:endnote>
  <w:endnote w:type="continuationSeparator" w:id="0">
    <w:p w:rsidR="004A1257" w:rsidRDefault="004A1257" w:rsidP="00B9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296" w:rsidRPr="00B93296" w:rsidRDefault="00B93296" w:rsidP="00B93296">
    <w:pPr>
      <w:pStyle w:val="a5"/>
      <w:jc w:val="right"/>
      <w:rPr>
        <w:rFonts w:ascii="Times New Roman" w:hAnsi="Times New Roman" w:cs="Times New Roman"/>
        <w:b/>
        <w:i/>
        <w:sz w:val="24"/>
        <w:szCs w:val="24"/>
      </w:rPr>
    </w:pPr>
    <w:r w:rsidRPr="00B93296">
      <w:rPr>
        <w:rFonts w:ascii="Times New Roman" w:hAnsi="Times New Roman" w:cs="Times New Roman"/>
        <w:b/>
        <w:i/>
        <w:sz w:val="24"/>
        <w:szCs w:val="24"/>
      </w:rPr>
      <w:t xml:space="preserve">Page </w:t>
    </w:r>
    <w:r w:rsidRPr="00B93296">
      <w:rPr>
        <w:rFonts w:ascii="Times New Roman" w:hAnsi="Times New Roman" w:cs="Times New Roman"/>
        <w:b/>
        <w:i/>
        <w:sz w:val="24"/>
        <w:szCs w:val="24"/>
      </w:rPr>
      <w:fldChar w:fldCharType="begin"/>
    </w:r>
    <w:r w:rsidRPr="00B93296">
      <w:rPr>
        <w:rFonts w:ascii="Times New Roman" w:hAnsi="Times New Roman" w:cs="Times New Roman"/>
        <w:b/>
        <w:i/>
        <w:sz w:val="24"/>
        <w:szCs w:val="24"/>
      </w:rPr>
      <w:instrText>PAGE   \* MERGEFORMAT</w:instrText>
    </w:r>
    <w:r w:rsidRPr="00B93296">
      <w:rPr>
        <w:rFonts w:ascii="Times New Roman" w:hAnsi="Times New Roman" w:cs="Times New Roman"/>
        <w:b/>
        <w:i/>
        <w:sz w:val="24"/>
        <w:szCs w:val="24"/>
      </w:rPr>
      <w:fldChar w:fldCharType="separate"/>
    </w:r>
    <w:r w:rsidR="00D66CFF" w:rsidRPr="00D66CFF">
      <w:rPr>
        <w:rFonts w:ascii="Times New Roman" w:hAnsi="Times New Roman" w:cs="Times New Roman"/>
        <w:b/>
        <w:i/>
        <w:noProof/>
        <w:sz w:val="24"/>
        <w:szCs w:val="24"/>
        <w:lang w:val="zh-TW"/>
      </w:rPr>
      <w:t>4</w:t>
    </w:r>
    <w:r w:rsidRPr="00B93296">
      <w:rPr>
        <w:rFonts w:ascii="Times New Roman" w:hAnsi="Times New Roman" w:cs="Times New Roman"/>
        <w:b/>
        <w: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257" w:rsidRDefault="004A1257" w:rsidP="00B93296">
      <w:r>
        <w:separator/>
      </w:r>
    </w:p>
  </w:footnote>
  <w:footnote w:type="continuationSeparator" w:id="0">
    <w:p w:rsidR="004A1257" w:rsidRDefault="004A1257" w:rsidP="00B93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93252"/>
    <w:multiLevelType w:val="hybridMultilevel"/>
    <w:tmpl w:val="48462ADC"/>
    <w:lvl w:ilvl="0" w:tplc="35F42DBA">
      <w:start w:val="1"/>
      <w:numFmt w:val="lowerRoman"/>
      <w:lvlText w:val="(%1)"/>
      <w:lvlJc w:val="left"/>
      <w:pPr>
        <w:ind w:left="990" w:hanging="9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83527DF"/>
    <w:multiLevelType w:val="hybridMultilevel"/>
    <w:tmpl w:val="AAFCF156"/>
    <w:lvl w:ilvl="0" w:tplc="DE922592">
      <w:start w:val="1"/>
      <w:numFmt w:val="decimal"/>
      <w:lvlText w:val="%1."/>
      <w:lvlJc w:val="left"/>
      <w:pPr>
        <w:ind w:left="990" w:hanging="9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73"/>
    <w:rsid w:val="000111CB"/>
    <w:rsid w:val="00030550"/>
    <w:rsid w:val="00036AD9"/>
    <w:rsid w:val="00062001"/>
    <w:rsid w:val="00065273"/>
    <w:rsid w:val="00083044"/>
    <w:rsid w:val="00090FC0"/>
    <w:rsid w:val="00092199"/>
    <w:rsid w:val="000A76D1"/>
    <w:rsid w:val="000B1207"/>
    <w:rsid w:val="000E7B74"/>
    <w:rsid w:val="000F11BC"/>
    <w:rsid w:val="000F20C8"/>
    <w:rsid w:val="000F3022"/>
    <w:rsid w:val="00107832"/>
    <w:rsid w:val="00115714"/>
    <w:rsid w:val="00140678"/>
    <w:rsid w:val="001473BD"/>
    <w:rsid w:val="001559C6"/>
    <w:rsid w:val="00163748"/>
    <w:rsid w:val="00174C1A"/>
    <w:rsid w:val="0019079D"/>
    <w:rsid w:val="00192D9F"/>
    <w:rsid w:val="001B127E"/>
    <w:rsid w:val="001F4640"/>
    <w:rsid w:val="002525CF"/>
    <w:rsid w:val="00281E82"/>
    <w:rsid w:val="00297800"/>
    <w:rsid w:val="002B02F9"/>
    <w:rsid w:val="002E2F14"/>
    <w:rsid w:val="003414F1"/>
    <w:rsid w:val="00365C0B"/>
    <w:rsid w:val="0038799F"/>
    <w:rsid w:val="003B492B"/>
    <w:rsid w:val="003E1658"/>
    <w:rsid w:val="00414063"/>
    <w:rsid w:val="00421C12"/>
    <w:rsid w:val="00426F51"/>
    <w:rsid w:val="004537BF"/>
    <w:rsid w:val="00455C1A"/>
    <w:rsid w:val="004572A6"/>
    <w:rsid w:val="004645E3"/>
    <w:rsid w:val="004A1257"/>
    <w:rsid w:val="004D2580"/>
    <w:rsid w:val="00512051"/>
    <w:rsid w:val="005338E3"/>
    <w:rsid w:val="00561A0D"/>
    <w:rsid w:val="00561B4A"/>
    <w:rsid w:val="0056484A"/>
    <w:rsid w:val="00564A69"/>
    <w:rsid w:val="005B4B85"/>
    <w:rsid w:val="005C549A"/>
    <w:rsid w:val="005E1A0D"/>
    <w:rsid w:val="00670051"/>
    <w:rsid w:val="00672358"/>
    <w:rsid w:val="0068036A"/>
    <w:rsid w:val="00680B7C"/>
    <w:rsid w:val="006C6D69"/>
    <w:rsid w:val="006C7556"/>
    <w:rsid w:val="006D727A"/>
    <w:rsid w:val="006E362D"/>
    <w:rsid w:val="006E3BBF"/>
    <w:rsid w:val="006E5857"/>
    <w:rsid w:val="00743CAA"/>
    <w:rsid w:val="00765011"/>
    <w:rsid w:val="007B7C46"/>
    <w:rsid w:val="007C2F13"/>
    <w:rsid w:val="008518DC"/>
    <w:rsid w:val="008537C0"/>
    <w:rsid w:val="00867437"/>
    <w:rsid w:val="008C71E4"/>
    <w:rsid w:val="008D17E9"/>
    <w:rsid w:val="008E2596"/>
    <w:rsid w:val="009413D0"/>
    <w:rsid w:val="00970818"/>
    <w:rsid w:val="00981AA3"/>
    <w:rsid w:val="009A360F"/>
    <w:rsid w:val="009D006B"/>
    <w:rsid w:val="00A44791"/>
    <w:rsid w:val="00A76C71"/>
    <w:rsid w:val="00A9729C"/>
    <w:rsid w:val="00AB67D8"/>
    <w:rsid w:val="00AC7A28"/>
    <w:rsid w:val="00AE4C8E"/>
    <w:rsid w:val="00B51F65"/>
    <w:rsid w:val="00B64A70"/>
    <w:rsid w:val="00B93296"/>
    <w:rsid w:val="00BA3C7D"/>
    <w:rsid w:val="00BB091D"/>
    <w:rsid w:val="00BE277B"/>
    <w:rsid w:val="00C50850"/>
    <w:rsid w:val="00C5597F"/>
    <w:rsid w:val="00C66A1B"/>
    <w:rsid w:val="00CA37F8"/>
    <w:rsid w:val="00CA4037"/>
    <w:rsid w:val="00CC27D5"/>
    <w:rsid w:val="00CC407C"/>
    <w:rsid w:val="00CF485E"/>
    <w:rsid w:val="00D05F3C"/>
    <w:rsid w:val="00D119F6"/>
    <w:rsid w:val="00D41DD0"/>
    <w:rsid w:val="00D52ECB"/>
    <w:rsid w:val="00D66CFF"/>
    <w:rsid w:val="00D82BBE"/>
    <w:rsid w:val="00DC44C3"/>
    <w:rsid w:val="00E00AD6"/>
    <w:rsid w:val="00E243BA"/>
    <w:rsid w:val="00E248FC"/>
    <w:rsid w:val="00EB719A"/>
    <w:rsid w:val="00EC17D1"/>
    <w:rsid w:val="00EE0544"/>
    <w:rsid w:val="00EE7CC6"/>
    <w:rsid w:val="00EF38B1"/>
    <w:rsid w:val="00F336F4"/>
    <w:rsid w:val="00F4625D"/>
    <w:rsid w:val="00F51235"/>
    <w:rsid w:val="00F67ACB"/>
    <w:rsid w:val="00F74484"/>
    <w:rsid w:val="00F9791B"/>
    <w:rsid w:val="00FB5FF3"/>
    <w:rsid w:val="00FD43AC"/>
    <w:rsid w:val="00FE0B5E"/>
    <w:rsid w:val="00FE71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03F062"/>
  <w15:chartTrackingRefBased/>
  <w15:docId w15:val="{A42014C1-A191-47C2-A1B8-52AD411B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296"/>
    <w:pPr>
      <w:tabs>
        <w:tab w:val="center" w:pos="4153"/>
        <w:tab w:val="right" w:pos="8306"/>
      </w:tabs>
      <w:snapToGrid w:val="0"/>
    </w:pPr>
    <w:rPr>
      <w:sz w:val="20"/>
      <w:szCs w:val="20"/>
    </w:rPr>
  </w:style>
  <w:style w:type="character" w:customStyle="1" w:styleId="a4">
    <w:name w:val="頁首 字元"/>
    <w:basedOn w:val="a0"/>
    <w:link w:val="a3"/>
    <w:uiPriority w:val="99"/>
    <w:rsid w:val="00B93296"/>
    <w:rPr>
      <w:sz w:val="20"/>
      <w:szCs w:val="20"/>
    </w:rPr>
  </w:style>
  <w:style w:type="paragraph" w:styleId="a5">
    <w:name w:val="footer"/>
    <w:basedOn w:val="a"/>
    <w:link w:val="a6"/>
    <w:uiPriority w:val="99"/>
    <w:unhideWhenUsed/>
    <w:rsid w:val="00B93296"/>
    <w:pPr>
      <w:tabs>
        <w:tab w:val="center" w:pos="4153"/>
        <w:tab w:val="right" w:pos="8306"/>
      </w:tabs>
      <w:snapToGrid w:val="0"/>
    </w:pPr>
    <w:rPr>
      <w:sz w:val="20"/>
      <w:szCs w:val="20"/>
    </w:rPr>
  </w:style>
  <w:style w:type="character" w:customStyle="1" w:styleId="a6">
    <w:name w:val="頁尾 字元"/>
    <w:basedOn w:val="a0"/>
    <w:link w:val="a5"/>
    <w:uiPriority w:val="99"/>
    <w:rsid w:val="00B93296"/>
    <w:rPr>
      <w:sz w:val="20"/>
      <w:szCs w:val="20"/>
    </w:rPr>
  </w:style>
  <w:style w:type="table" w:styleId="a7">
    <w:name w:val="Table Grid"/>
    <w:basedOn w:val="a1"/>
    <w:uiPriority w:val="39"/>
    <w:rsid w:val="00970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036A"/>
    <w:pPr>
      <w:ind w:leftChars="200" w:left="480"/>
    </w:pPr>
  </w:style>
  <w:style w:type="paragraph" w:styleId="a9">
    <w:name w:val="Balloon Text"/>
    <w:basedOn w:val="a"/>
    <w:link w:val="aa"/>
    <w:uiPriority w:val="99"/>
    <w:semiHidden/>
    <w:unhideWhenUsed/>
    <w:rsid w:val="008E259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25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Wa Kin</dc:creator>
  <cp:keywords/>
  <dc:description/>
  <cp:lastModifiedBy>NG Wa Kin</cp:lastModifiedBy>
  <cp:revision>14</cp:revision>
  <cp:lastPrinted>2025-06-04T08:04:00Z</cp:lastPrinted>
  <dcterms:created xsi:type="dcterms:W3CDTF">2025-06-09T03:21:00Z</dcterms:created>
  <dcterms:modified xsi:type="dcterms:W3CDTF">2025-06-09T04:32:00Z</dcterms:modified>
</cp:coreProperties>
</file>