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bookmarkStart w:id="0" w:name="_GoBack"/>
      <w:bookmarkEnd w:id="0"/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0493CBA7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 ECC</w:t>
      </w:r>
      <w:r w:rsidR="002C32D2">
        <w:rPr>
          <w:sz w:val="26"/>
          <w:szCs w:val="26"/>
          <w:lang w:eastAsia="zh-HK"/>
        </w:rPr>
        <w:t xml:space="preserve"> HK Edition</w:t>
      </w:r>
      <w:r w:rsidR="003B40A3" w:rsidRPr="000B3305">
        <w:rPr>
          <w:sz w:val="26"/>
          <w:szCs w:val="26"/>
          <w:lang w:eastAsia="zh-HK"/>
        </w:rPr>
        <w:t xml:space="preserve"> (</w:t>
      </w:r>
      <w:r w:rsidR="002C32D2">
        <w:rPr>
          <w:sz w:val="26"/>
          <w:szCs w:val="26"/>
          <w:lang w:eastAsia="zh-HK"/>
        </w:rPr>
        <w:t>July 2023)</w:t>
      </w:r>
      <w:r w:rsidRPr="000B3305">
        <w:rPr>
          <w:sz w:val="26"/>
          <w:szCs w:val="26"/>
          <w:lang w:eastAsia="zh-HK"/>
        </w:rPr>
        <w:t xml:space="preserve">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13FA892D" w:rsidR="00032590" w:rsidRPr="000B3305" w:rsidRDefault="00C3133E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06337CC4" w:rsidR="00032590" w:rsidRPr="000B3305" w:rsidRDefault="00C3133E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="00032590" w:rsidRPr="000B3305">
        <w:rPr>
          <w:sz w:val="26"/>
          <w:szCs w:val="26"/>
          <w:lang w:eastAsia="zh-HK"/>
        </w:rPr>
        <w:t xml:space="preserve"> with the DEVB subject office</w:t>
      </w:r>
      <w:r w:rsidR="00831B27">
        <w:rPr>
          <w:sz w:val="26"/>
          <w:szCs w:val="26"/>
          <w:lang w:eastAsia="zh-HK"/>
        </w:rPr>
        <w:t>r [AS(WP4)8, telephone no. 3509 </w:t>
      </w:r>
      <w:r w:rsidR="00032590" w:rsidRPr="000B3305">
        <w:rPr>
          <w:sz w:val="26"/>
          <w:szCs w:val="26"/>
          <w:lang w:eastAsia="zh-HK"/>
        </w:rPr>
        <w:t>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612"/>
        <w:gridCol w:w="1946"/>
        <w:gridCol w:w="1881"/>
      </w:tblGrid>
      <w:tr w:rsidR="00306C80" w:rsidRPr="00D52614" w14:paraId="695563F0" w14:textId="77777777" w:rsidTr="00B86C2D">
        <w:trPr>
          <w:cantSplit/>
          <w:tblHeader/>
        </w:trPr>
        <w:tc>
          <w:tcPr>
            <w:tcW w:w="581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946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881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392282">
        <w:trPr>
          <w:cantSplit/>
        </w:trPr>
        <w:tc>
          <w:tcPr>
            <w:tcW w:w="9639" w:type="dxa"/>
            <w:gridSpan w:val="4"/>
          </w:tcPr>
          <w:p w14:paraId="0BE7D212" w14:textId="77777777" w:rsidR="00306C80" w:rsidRPr="00C3060E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C3060E">
              <w:rPr>
                <w:sz w:val="26"/>
                <w:szCs w:val="26"/>
              </w:rPr>
              <w:t xml:space="preserve">[A: Matters related to tendering </w:t>
            </w:r>
            <w:r w:rsidRPr="00C3060E">
              <w:rPr>
                <w:b w:val="0"/>
                <w:color w:val="0000FF"/>
                <w:sz w:val="26"/>
                <w:szCs w:val="26"/>
              </w:rPr>
              <w:t>(</w:t>
            </w:r>
            <w:r w:rsidRPr="00C3060E">
              <w:rPr>
                <w:b w:val="0"/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b w:val="0"/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147AD5A1" w14:textId="77777777" w:rsidTr="00B86C2D">
        <w:trPr>
          <w:cantSplit/>
        </w:trPr>
        <w:tc>
          <w:tcPr>
            <w:tcW w:w="1200" w:type="dxa"/>
          </w:tcPr>
          <w:p w14:paraId="669232B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1B096E9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946" w:type="dxa"/>
          </w:tcPr>
          <w:p w14:paraId="3E9A28DC" w14:textId="55F7BA0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B1E4CF3" w14:textId="7D44456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A2AE1E0" w14:textId="77777777" w:rsidTr="00B86C2D">
        <w:trPr>
          <w:cantSplit/>
        </w:trPr>
        <w:tc>
          <w:tcPr>
            <w:tcW w:w="1200" w:type="dxa"/>
          </w:tcPr>
          <w:p w14:paraId="476242AD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FA4C1B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946" w:type="dxa"/>
          </w:tcPr>
          <w:p w14:paraId="0EA92FCD" w14:textId="2403341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B9B9189" w14:textId="198DB40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58E1958" w14:textId="77777777" w:rsidTr="00B86C2D">
        <w:trPr>
          <w:cantSplit/>
        </w:trPr>
        <w:tc>
          <w:tcPr>
            <w:tcW w:w="1200" w:type="dxa"/>
          </w:tcPr>
          <w:p w14:paraId="0A28358E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39B40A2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946" w:type="dxa"/>
          </w:tcPr>
          <w:p w14:paraId="360B5B99" w14:textId="72A7994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9810447" w14:textId="2920298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7AAFBC3" w14:textId="77777777" w:rsidTr="00B86C2D">
        <w:trPr>
          <w:cantSplit/>
        </w:trPr>
        <w:tc>
          <w:tcPr>
            <w:tcW w:w="1200" w:type="dxa"/>
          </w:tcPr>
          <w:p w14:paraId="176F210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53F8FE" w14:textId="296998B1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946" w:type="dxa"/>
          </w:tcPr>
          <w:p w14:paraId="3983F91F" w14:textId="43B73C03" w:rsidR="00874281" w:rsidRPr="00D52614" w:rsidRDefault="004411B9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874281" w:rsidRPr="00990C3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16F8F3BB" w14:textId="2DD94D5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52923E16" w14:textId="77777777" w:rsidTr="00B86C2D">
        <w:trPr>
          <w:cantSplit/>
        </w:trPr>
        <w:tc>
          <w:tcPr>
            <w:tcW w:w="1200" w:type="dxa"/>
          </w:tcPr>
          <w:p w14:paraId="258955D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0AEBF19" w14:textId="67860F09" w:rsidR="00874281" w:rsidRPr="00D52614" w:rsidRDefault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</w:t>
            </w:r>
            <w:r w:rsidR="004411B9">
              <w:rPr>
                <w:sz w:val="26"/>
                <w:szCs w:val="26"/>
                <w:lang w:eastAsia="zh-HK"/>
              </w:rPr>
              <w:t>electronic submission</w:t>
            </w:r>
          </w:p>
        </w:tc>
        <w:tc>
          <w:tcPr>
            <w:tcW w:w="1946" w:type="dxa"/>
          </w:tcPr>
          <w:p w14:paraId="6AE5D914" w14:textId="20164D7C" w:rsidR="00874281" w:rsidRPr="00D52614" w:rsidRDefault="00B9765C" w:rsidP="00B9765C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11B9">
              <w:rPr>
                <w:sz w:val="26"/>
                <w:szCs w:val="26"/>
              </w:rPr>
              <w:t>2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.202</w:t>
            </w:r>
            <w:r w:rsidR="004411B9"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0EC5BA8C" w14:textId="37318E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78D56E" w14:textId="77777777" w:rsidTr="00B86C2D">
        <w:trPr>
          <w:cantSplit/>
        </w:trPr>
        <w:tc>
          <w:tcPr>
            <w:tcW w:w="1200" w:type="dxa"/>
          </w:tcPr>
          <w:p w14:paraId="4F64B8CB" w14:textId="77777777" w:rsidR="00874281" w:rsidRPr="00D52614" w:rsidDel="006D2BE1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1225AD" w14:textId="12A75E4D" w:rsidR="00874281" w:rsidRPr="00D52614" w:rsidRDefault="004411B9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Check list for </w:t>
            </w:r>
            <w:r w:rsidR="000A17DF">
              <w:rPr>
                <w:sz w:val="26"/>
                <w:szCs w:val="26"/>
              </w:rPr>
              <w:t>optional hard</w:t>
            </w:r>
            <w:r w:rsidR="00AC36D9">
              <w:rPr>
                <w:sz w:val="26"/>
                <w:szCs w:val="26"/>
              </w:rPr>
              <w:t xml:space="preserve"> </w:t>
            </w:r>
            <w:r w:rsidR="000A17DF">
              <w:rPr>
                <w:sz w:val="26"/>
                <w:szCs w:val="26"/>
              </w:rPr>
              <w:t xml:space="preserve">copy </w:t>
            </w:r>
            <w:r w:rsidR="00874281" w:rsidRPr="00D52614">
              <w:rPr>
                <w:sz w:val="26"/>
                <w:szCs w:val="26"/>
              </w:rPr>
              <w:t>submission</w:t>
            </w:r>
          </w:p>
        </w:tc>
        <w:tc>
          <w:tcPr>
            <w:tcW w:w="1946" w:type="dxa"/>
          </w:tcPr>
          <w:p w14:paraId="613C4732" w14:textId="5C4079C8" w:rsidR="00874281" w:rsidRPr="00D52614" w:rsidRDefault="003F4602" w:rsidP="003F4602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74281" w:rsidRPr="00990C33">
              <w:rPr>
                <w:sz w:val="26"/>
                <w:szCs w:val="26"/>
              </w:rPr>
              <w:t>.</w:t>
            </w:r>
            <w:r w:rsidR="00B9765C"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</w:t>
            </w:r>
            <w:r w:rsidRPr="00990C3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608431D6" w14:textId="18D68A7C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2BCE1EE" w14:textId="77777777" w:rsidTr="00B86C2D">
        <w:trPr>
          <w:cantSplit/>
        </w:trPr>
        <w:tc>
          <w:tcPr>
            <w:tcW w:w="1200" w:type="dxa"/>
          </w:tcPr>
          <w:p w14:paraId="18A0AC0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F3BAC4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946" w:type="dxa"/>
          </w:tcPr>
          <w:p w14:paraId="2F50DC94" w14:textId="2A94182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C2AD868" w14:textId="76E3E3E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0F0D4A65" w14:textId="77777777" w:rsidTr="00B86C2D">
        <w:trPr>
          <w:cantSplit/>
        </w:trPr>
        <w:tc>
          <w:tcPr>
            <w:tcW w:w="1200" w:type="dxa"/>
          </w:tcPr>
          <w:p w14:paraId="43341A4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E05C0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946" w:type="dxa"/>
          </w:tcPr>
          <w:p w14:paraId="7A372A4B" w14:textId="6B0D86A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15E7077" w14:textId="2F37479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08A0E7E" w14:textId="77777777" w:rsidTr="00B86C2D">
        <w:trPr>
          <w:cantSplit/>
        </w:trPr>
        <w:tc>
          <w:tcPr>
            <w:tcW w:w="1200" w:type="dxa"/>
          </w:tcPr>
          <w:p w14:paraId="0BEBAAE9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B08522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946" w:type="dxa"/>
          </w:tcPr>
          <w:p w14:paraId="3945AEFD" w14:textId="77B423BC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156F88D" w14:textId="2326E1AA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7B16986" w14:textId="77777777" w:rsidTr="00B86C2D">
        <w:trPr>
          <w:cantSplit/>
        </w:trPr>
        <w:tc>
          <w:tcPr>
            <w:tcW w:w="1200" w:type="dxa"/>
          </w:tcPr>
          <w:p w14:paraId="0B5AC66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479191B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946" w:type="dxa"/>
          </w:tcPr>
          <w:p w14:paraId="24C4FE8C" w14:textId="25B4C42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465FD41" w14:textId="4F908E1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38FDE67" w14:textId="77777777" w:rsidTr="00B86C2D">
        <w:trPr>
          <w:cantSplit/>
        </w:trPr>
        <w:tc>
          <w:tcPr>
            <w:tcW w:w="1200" w:type="dxa"/>
          </w:tcPr>
          <w:p w14:paraId="7C2A1B6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697968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946" w:type="dxa"/>
          </w:tcPr>
          <w:p w14:paraId="47637FE5" w14:textId="3B43B708" w:rsidR="00874281" w:rsidRPr="00D52614" w:rsidRDefault="00786B42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="00874281" w:rsidRPr="008F17E8">
              <w:rPr>
                <w:sz w:val="26"/>
                <w:szCs w:val="26"/>
              </w:rPr>
              <w:t>.</w:t>
            </w:r>
            <w:r w:rsidR="00B86C2D"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3DEA60C9" w14:textId="528A3AE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35D8129" w14:textId="77777777" w:rsidTr="00B86C2D">
        <w:trPr>
          <w:cantSplit/>
        </w:trPr>
        <w:tc>
          <w:tcPr>
            <w:tcW w:w="1200" w:type="dxa"/>
          </w:tcPr>
          <w:p w14:paraId="2153F80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5ED985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946" w:type="dxa"/>
          </w:tcPr>
          <w:p w14:paraId="2ACB86E7" w14:textId="03D40329" w:rsidR="00874281" w:rsidRPr="00D52614" w:rsidRDefault="00786B42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="00874281" w:rsidRPr="008F17E8">
              <w:rPr>
                <w:sz w:val="26"/>
                <w:szCs w:val="26"/>
              </w:rPr>
              <w:t>.</w:t>
            </w:r>
            <w:r w:rsidR="00B86C2D"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5BE09FC0" w14:textId="263E023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BD3C0A0" w14:textId="77777777" w:rsidTr="00B86C2D">
        <w:trPr>
          <w:cantSplit/>
        </w:trPr>
        <w:tc>
          <w:tcPr>
            <w:tcW w:w="1200" w:type="dxa"/>
          </w:tcPr>
          <w:p w14:paraId="4530D7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D233D2" w14:textId="7681095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946" w:type="dxa"/>
          </w:tcPr>
          <w:p w14:paraId="041AF348" w14:textId="29CF320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8F3CB87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C3F719E" w14:textId="77777777" w:rsidTr="00B86C2D">
        <w:trPr>
          <w:cantSplit/>
        </w:trPr>
        <w:tc>
          <w:tcPr>
            <w:tcW w:w="1200" w:type="dxa"/>
          </w:tcPr>
          <w:p w14:paraId="6591980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81756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946" w:type="dxa"/>
          </w:tcPr>
          <w:p w14:paraId="0A826AE8" w14:textId="2432EF0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703EA47" w14:textId="47309E7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54C1658" w14:textId="77777777" w:rsidTr="00B86C2D">
        <w:trPr>
          <w:cantSplit/>
        </w:trPr>
        <w:tc>
          <w:tcPr>
            <w:tcW w:w="1200" w:type="dxa"/>
          </w:tcPr>
          <w:p w14:paraId="08F6B3B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B590383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946" w:type="dxa"/>
          </w:tcPr>
          <w:p w14:paraId="20E8B3D9" w14:textId="6CAA99B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A485E08" w14:textId="3D5BC32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79B0628" w14:textId="77777777" w:rsidTr="00B86C2D">
        <w:trPr>
          <w:cantSplit/>
        </w:trPr>
        <w:tc>
          <w:tcPr>
            <w:tcW w:w="1200" w:type="dxa"/>
          </w:tcPr>
          <w:p w14:paraId="33022C1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561A34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946" w:type="dxa"/>
          </w:tcPr>
          <w:p w14:paraId="3DC1B47C" w14:textId="492346A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B35BCDB" w14:textId="7FF6179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9EDEFA3" w14:textId="77777777" w:rsidTr="00B86C2D">
        <w:trPr>
          <w:cantSplit/>
        </w:trPr>
        <w:tc>
          <w:tcPr>
            <w:tcW w:w="1200" w:type="dxa"/>
          </w:tcPr>
          <w:p w14:paraId="41481C4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670966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946" w:type="dxa"/>
          </w:tcPr>
          <w:p w14:paraId="2847788A" w14:textId="05DF0E8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876300" w14:textId="04003BE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9367A77" w14:textId="77777777" w:rsidTr="00B86C2D">
        <w:trPr>
          <w:cantSplit/>
        </w:trPr>
        <w:tc>
          <w:tcPr>
            <w:tcW w:w="1200" w:type="dxa"/>
          </w:tcPr>
          <w:p w14:paraId="780F049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33141B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JV </w:t>
            </w:r>
            <w:proofErr w:type="spellStart"/>
            <w:r w:rsidRPr="00D52614">
              <w:rPr>
                <w:bCs/>
                <w:sz w:val="26"/>
                <w:szCs w:val="26"/>
              </w:rPr>
              <w:t>Proforma</w:t>
            </w:r>
            <w:proofErr w:type="spellEnd"/>
          </w:p>
        </w:tc>
        <w:tc>
          <w:tcPr>
            <w:tcW w:w="1946" w:type="dxa"/>
          </w:tcPr>
          <w:p w14:paraId="43B40B23" w14:textId="19DF7A9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1C13F4" w14:textId="28751368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874281" w:rsidRPr="00D52614" w14:paraId="7B5F078E" w14:textId="77777777" w:rsidTr="00B86C2D">
        <w:trPr>
          <w:cantSplit/>
        </w:trPr>
        <w:tc>
          <w:tcPr>
            <w:tcW w:w="1200" w:type="dxa"/>
          </w:tcPr>
          <w:p w14:paraId="6A0506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5DE15761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946" w:type="dxa"/>
          </w:tcPr>
          <w:p w14:paraId="28E21DB3" w14:textId="6DE0543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4D85C71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29BD3D9C" w14:textId="77777777" w:rsidTr="00B86C2D">
        <w:trPr>
          <w:cantSplit/>
        </w:trPr>
        <w:tc>
          <w:tcPr>
            <w:tcW w:w="1200" w:type="dxa"/>
          </w:tcPr>
          <w:p w14:paraId="77396F01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164718C" w14:textId="48E94B3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946" w:type="dxa"/>
          </w:tcPr>
          <w:p w14:paraId="3564EF30" w14:textId="32ECDAAB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C38CA7E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B7AA9A" w14:textId="77777777" w:rsidTr="00B86C2D">
        <w:trPr>
          <w:cantSplit/>
        </w:trPr>
        <w:tc>
          <w:tcPr>
            <w:tcW w:w="1200" w:type="dxa"/>
          </w:tcPr>
          <w:p w14:paraId="21C4B3FB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239757C" w14:textId="16930F5A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946" w:type="dxa"/>
          </w:tcPr>
          <w:p w14:paraId="415CCC98" w14:textId="2D4CEB11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021C60D" w14:textId="21CD025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FEF8DE4" w14:textId="77777777" w:rsidTr="00B86C2D">
        <w:trPr>
          <w:cantSplit/>
        </w:trPr>
        <w:tc>
          <w:tcPr>
            <w:tcW w:w="1200" w:type="dxa"/>
          </w:tcPr>
          <w:p w14:paraId="07B1CEBF" w14:textId="044B1600" w:rsidR="00874281" w:rsidRPr="005A013C" w:rsidRDefault="00874281" w:rsidP="00874281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B55281D" w14:textId="1EEEE3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946" w:type="dxa"/>
          </w:tcPr>
          <w:p w14:paraId="1CF0B941" w14:textId="65E6FC1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FFA87C" w14:textId="1AC1BCA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B86C2D">
        <w:trPr>
          <w:cantSplit/>
        </w:trPr>
        <w:tc>
          <w:tcPr>
            <w:tcW w:w="1200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392282">
        <w:trPr>
          <w:cantSplit/>
        </w:trPr>
        <w:tc>
          <w:tcPr>
            <w:tcW w:w="9639" w:type="dxa"/>
            <w:gridSpan w:val="4"/>
          </w:tcPr>
          <w:p w14:paraId="64232C6F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C3060E">
              <w:rPr>
                <w:color w:val="0000FF"/>
                <w:sz w:val="26"/>
                <w:szCs w:val="26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4E915A6B" w14:textId="77777777" w:rsidTr="00B86C2D">
        <w:trPr>
          <w:cantSplit/>
        </w:trPr>
        <w:tc>
          <w:tcPr>
            <w:tcW w:w="1200" w:type="dxa"/>
          </w:tcPr>
          <w:p w14:paraId="40591449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46BF94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946" w:type="dxa"/>
          </w:tcPr>
          <w:p w14:paraId="2D47F570" w14:textId="4714E8C7" w:rsidR="00874281" w:rsidRPr="00D52614" w:rsidRDefault="00874281" w:rsidP="00874281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C9F83D5" w14:textId="686B9F3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76212F17" w14:textId="77777777" w:rsidTr="00B86C2D">
        <w:trPr>
          <w:cantSplit/>
        </w:trPr>
        <w:tc>
          <w:tcPr>
            <w:tcW w:w="1200" w:type="dxa"/>
          </w:tcPr>
          <w:p w14:paraId="3946A51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66395F77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946" w:type="dxa"/>
          </w:tcPr>
          <w:p w14:paraId="421043D4" w14:textId="2764BBA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506EF91" w14:textId="250BD74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1ECDA7C1" w14:textId="77777777" w:rsidTr="00B86C2D">
        <w:trPr>
          <w:cantSplit/>
        </w:trPr>
        <w:tc>
          <w:tcPr>
            <w:tcW w:w="1200" w:type="dxa"/>
          </w:tcPr>
          <w:p w14:paraId="72188601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1D9CFE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946" w:type="dxa"/>
          </w:tcPr>
          <w:p w14:paraId="0C0A5872" w14:textId="72410D0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3EFBA60" w14:textId="524D737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D5CD125" w14:textId="77777777" w:rsidTr="00B86C2D">
        <w:trPr>
          <w:cantSplit/>
        </w:trPr>
        <w:tc>
          <w:tcPr>
            <w:tcW w:w="1200" w:type="dxa"/>
          </w:tcPr>
          <w:p w14:paraId="52A95767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458ADE6A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946" w:type="dxa"/>
          </w:tcPr>
          <w:p w14:paraId="7B8353BC" w14:textId="19A60D46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8303B38" w14:textId="00526A9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9F3661F" w14:textId="77777777" w:rsidTr="00B86C2D">
        <w:trPr>
          <w:cantSplit/>
        </w:trPr>
        <w:tc>
          <w:tcPr>
            <w:tcW w:w="1200" w:type="dxa"/>
          </w:tcPr>
          <w:p w14:paraId="1CD077B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48EA53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946" w:type="dxa"/>
          </w:tcPr>
          <w:p w14:paraId="6F66009B" w14:textId="3B1CE8C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9F36842" w14:textId="404DA2A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A3908BA" w14:textId="77777777" w:rsidTr="00B86C2D">
        <w:trPr>
          <w:cantSplit/>
        </w:trPr>
        <w:tc>
          <w:tcPr>
            <w:tcW w:w="1200" w:type="dxa"/>
          </w:tcPr>
          <w:p w14:paraId="79A18B4D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569F339" w14:textId="4611860F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0CA49B11" w14:textId="1BD75AFE" w:rsidR="00874281" w:rsidRPr="00D52614" w:rsidRDefault="00874281" w:rsidP="00874281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AB699D9" w14:textId="7144467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B86C2D">
        <w:trPr>
          <w:cantSplit/>
        </w:trPr>
        <w:tc>
          <w:tcPr>
            <w:tcW w:w="1200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C910D56" w14:textId="5F8AD568" w:rsidR="00D52614" w:rsidRPr="00874281" w:rsidRDefault="00D52614" w:rsidP="000B3305">
            <w:pPr>
              <w:spacing w:beforeLines="10" w:before="36" w:afterLines="10" w:after="36"/>
              <w:ind w:rightChars="60" w:right="144"/>
              <w:rPr>
                <w:b/>
                <w:i/>
                <w:color w:val="0000FF"/>
                <w:sz w:val="26"/>
                <w:szCs w:val="26"/>
              </w:rPr>
            </w:pPr>
            <w:r w:rsidRPr="00874281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33B952DE" w14:textId="0D7EC31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B86C2D">
        <w:trPr>
          <w:cantSplit/>
        </w:trPr>
        <w:tc>
          <w:tcPr>
            <w:tcW w:w="1200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946" w:type="dxa"/>
          </w:tcPr>
          <w:p w14:paraId="7066DEF2" w14:textId="6C168613" w:rsidR="00D52614" w:rsidRDefault="00874281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B86C2D">
        <w:trPr>
          <w:cantSplit/>
        </w:trPr>
        <w:tc>
          <w:tcPr>
            <w:tcW w:w="1200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881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C3060E" w14:paraId="1D4F5E30" w14:textId="77777777" w:rsidTr="00392282">
        <w:trPr>
          <w:cantSplit/>
        </w:trPr>
        <w:tc>
          <w:tcPr>
            <w:tcW w:w="9639" w:type="dxa"/>
            <w:gridSpan w:val="4"/>
          </w:tcPr>
          <w:p w14:paraId="71C7E955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  <w:lang w:eastAsia="zh-HK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)</w:t>
            </w:r>
            <w:r w:rsidRPr="00C3060E">
              <w:rPr>
                <w:b/>
                <w:sz w:val="26"/>
                <w:szCs w:val="26"/>
                <w:lang w:eastAsia="zh-HK"/>
              </w:rPr>
              <w:t>]</w:t>
            </w:r>
          </w:p>
        </w:tc>
      </w:tr>
      <w:tr w:rsidR="00EB4B60" w:rsidRPr="00D52614" w14:paraId="1D026EAF" w14:textId="77777777" w:rsidTr="00B86C2D">
        <w:trPr>
          <w:cantSplit/>
        </w:trPr>
        <w:tc>
          <w:tcPr>
            <w:tcW w:w="1200" w:type="dxa"/>
          </w:tcPr>
          <w:p w14:paraId="08DD181B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4F26DEC" w14:textId="6C81C538" w:rsidR="00EB4B60" w:rsidRPr="00D52614" w:rsidRDefault="00046BF8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Subcontractor Registration Scheme</w:t>
            </w:r>
          </w:p>
        </w:tc>
        <w:tc>
          <w:tcPr>
            <w:tcW w:w="1946" w:type="dxa"/>
          </w:tcPr>
          <w:p w14:paraId="036FAD5C" w14:textId="458690F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E5A65DB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318AD030" w14:textId="77777777" w:rsidTr="00B86C2D">
        <w:trPr>
          <w:cantSplit/>
        </w:trPr>
        <w:tc>
          <w:tcPr>
            <w:tcW w:w="1200" w:type="dxa"/>
          </w:tcPr>
          <w:p w14:paraId="015CE74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420342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946" w:type="dxa"/>
          </w:tcPr>
          <w:p w14:paraId="427D94F6" w14:textId="3CCD83B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6C869AC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B86C2D">
        <w:trPr>
          <w:cantSplit/>
        </w:trPr>
        <w:tc>
          <w:tcPr>
            <w:tcW w:w="1200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946" w:type="dxa"/>
          </w:tcPr>
          <w:p w14:paraId="1DAE5BA0" w14:textId="5A59F139" w:rsidR="00D52614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B86C2D">
        <w:trPr>
          <w:cantSplit/>
        </w:trPr>
        <w:tc>
          <w:tcPr>
            <w:tcW w:w="1200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8E43C45" w14:textId="542FA91E" w:rsidR="00D52614" w:rsidRPr="00EB4B60" w:rsidRDefault="00D52614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6E8E5AE" w14:textId="53399B6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B86C2D">
        <w:trPr>
          <w:cantSplit/>
        </w:trPr>
        <w:tc>
          <w:tcPr>
            <w:tcW w:w="1200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946" w:type="dxa"/>
          </w:tcPr>
          <w:p w14:paraId="1666680A" w14:textId="23C0AA6E" w:rsidR="00D52614" w:rsidRPr="00D52614" w:rsidRDefault="00DF1F1B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03</w:t>
            </w:r>
            <w:r w:rsidR="00EB4B6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81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B86C2D">
        <w:trPr>
          <w:cantSplit/>
        </w:trPr>
        <w:tc>
          <w:tcPr>
            <w:tcW w:w="1200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2A0E354" w14:textId="28EFA65F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13E0361" w14:textId="565C276F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  <w:tc>
          <w:tcPr>
            <w:tcW w:w="1881" w:type="dxa"/>
          </w:tcPr>
          <w:p w14:paraId="2203F54E" w14:textId="46B9862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61A543E9" w14:textId="77777777" w:rsidTr="00B86C2D">
        <w:trPr>
          <w:cantSplit/>
        </w:trPr>
        <w:tc>
          <w:tcPr>
            <w:tcW w:w="1200" w:type="dxa"/>
          </w:tcPr>
          <w:p w14:paraId="7F1AC13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728EA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946" w:type="dxa"/>
          </w:tcPr>
          <w:p w14:paraId="05D68CE2" w14:textId="7BC5A396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B4B60" w:rsidRPr="00601A7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601A72">
              <w:rPr>
                <w:sz w:val="26"/>
                <w:szCs w:val="26"/>
              </w:rPr>
              <w:t>.</w:t>
            </w:r>
            <w:r w:rsidRPr="00601A7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5DEDBDB" w14:textId="28DE2B1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2B1EFD3" w14:textId="77777777" w:rsidTr="00B86C2D">
        <w:trPr>
          <w:cantSplit/>
        </w:trPr>
        <w:tc>
          <w:tcPr>
            <w:tcW w:w="1200" w:type="dxa"/>
          </w:tcPr>
          <w:p w14:paraId="1C2B3C4E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1B53D1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946" w:type="dxa"/>
          </w:tcPr>
          <w:p w14:paraId="60F4D958" w14:textId="5FDB7F6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C451E8E" w14:textId="6F591E2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89D4B20" w14:textId="77777777" w:rsidTr="00B86C2D">
        <w:trPr>
          <w:cantSplit/>
        </w:trPr>
        <w:tc>
          <w:tcPr>
            <w:tcW w:w="1200" w:type="dxa"/>
          </w:tcPr>
          <w:p w14:paraId="1F4A3B0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C68EE5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946" w:type="dxa"/>
          </w:tcPr>
          <w:p w14:paraId="4564D8DC" w14:textId="6A0534F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CE56D41" w14:textId="76F465B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B86C2D">
        <w:trPr>
          <w:cantSplit/>
        </w:trPr>
        <w:tc>
          <w:tcPr>
            <w:tcW w:w="1200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A7C7D07" w14:textId="7CB8EFDC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  <w:highlight w:val="yellow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4D55621" w14:textId="2AE2669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B86C2D">
        <w:trPr>
          <w:cantSplit/>
        </w:trPr>
        <w:tc>
          <w:tcPr>
            <w:tcW w:w="1200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73642EB" w14:textId="31977A6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="00A8370E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946" w:type="dxa"/>
          </w:tcPr>
          <w:p w14:paraId="67B1F04F" w14:textId="5613890A" w:rsidR="00D52614" w:rsidRPr="00EB4B60" w:rsidRDefault="00EB4B60" w:rsidP="00D52614">
            <w:pPr>
              <w:spacing w:beforeLines="10" w:before="36" w:afterLines="10" w:after="3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B86C2D">
        <w:trPr>
          <w:cantSplit/>
        </w:trPr>
        <w:tc>
          <w:tcPr>
            <w:tcW w:w="1200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1642A64" w14:textId="58BFAF7E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  <w:r w:rsidR="00D52614" w:rsidRPr="00EB4B60">
              <w:rPr>
                <w:b/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6ABB0A74" w14:textId="37CA85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4E5193A5" w14:textId="52202F7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001E8E9F" w14:textId="77777777" w:rsidTr="00B86C2D">
        <w:trPr>
          <w:cantSplit/>
        </w:trPr>
        <w:tc>
          <w:tcPr>
            <w:tcW w:w="1200" w:type="dxa"/>
          </w:tcPr>
          <w:p w14:paraId="6FB26246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97114F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946" w:type="dxa"/>
          </w:tcPr>
          <w:p w14:paraId="723CF840" w14:textId="26DC7F66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9EA6482" w14:textId="5EBA2C6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1844FEA6" w14:textId="77777777" w:rsidTr="00B86C2D">
        <w:trPr>
          <w:cantSplit/>
        </w:trPr>
        <w:tc>
          <w:tcPr>
            <w:tcW w:w="1200" w:type="dxa"/>
          </w:tcPr>
          <w:p w14:paraId="2F52108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A4FD4D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946" w:type="dxa"/>
          </w:tcPr>
          <w:p w14:paraId="63A447BD" w14:textId="2BDB1BF5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611A91" w14:textId="611D306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5D27C2E" w14:textId="77777777" w:rsidTr="00B86C2D">
        <w:trPr>
          <w:cantSplit/>
        </w:trPr>
        <w:tc>
          <w:tcPr>
            <w:tcW w:w="1200" w:type="dxa"/>
          </w:tcPr>
          <w:p w14:paraId="29E9F535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F70B000" w14:textId="37D639BB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946" w:type="dxa"/>
          </w:tcPr>
          <w:p w14:paraId="711C96E3" w14:textId="72E30D8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0D566B7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13E01E84" w14:textId="77777777" w:rsidTr="00B86C2D">
        <w:trPr>
          <w:cantSplit/>
        </w:trPr>
        <w:tc>
          <w:tcPr>
            <w:tcW w:w="1200" w:type="dxa"/>
          </w:tcPr>
          <w:p w14:paraId="36F2DAB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BE38F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946" w:type="dxa"/>
          </w:tcPr>
          <w:p w14:paraId="259C06F7" w14:textId="0906417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C40426" w14:textId="0A2330C9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6ED91E7" w14:textId="77777777" w:rsidTr="00B86C2D">
        <w:trPr>
          <w:cantSplit/>
        </w:trPr>
        <w:tc>
          <w:tcPr>
            <w:tcW w:w="1200" w:type="dxa"/>
          </w:tcPr>
          <w:p w14:paraId="17FF796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EE1614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946" w:type="dxa"/>
          </w:tcPr>
          <w:p w14:paraId="675C9F40" w14:textId="25E6FA92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5D35194" w14:textId="5247BDF1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DC67498" w14:textId="77777777" w:rsidTr="00B86C2D">
        <w:trPr>
          <w:cantSplit/>
        </w:trPr>
        <w:tc>
          <w:tcPr>
            <w:tcW w:w="1200" w:type="dxa"/>
          </w:tcPr>
          <w:p w14:paraId="23031D91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992049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01C5EDB2" w14:textId="6C1553C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69E9BA9" w14:textId="53D0B4F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3A0D5A5A" w14:textId="77777777" w:rsidTr="00B86C2D">
        <w:trPr>
          <w:cantSplit/>
        </w:trPr>
        <w:tc>
          <w:tcPr>
            <w:tcW w:w="1200" w:type="dxa"/>
          </w:tcPr>
          <w:p w14:paraId="3173A8A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D1A332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946" w:type="dxa"/>
          </w:tcPr>
          <w:p w14:paraId="31289417" w14:textId="455EFDA3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5626018" w14:textId="2E57929B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02F03826" w14:textId="77777777" w:rsidTr="00B86C2D">
        <w:trPr>
          <w:cantSplit/>
        </w:trPr>
        <w:tc>
          <w:tcPr>
            <w:tcW w:w="1200" w:type="dxa"/>
          </w:tcPr>
          <w:p w14:paraId="2D4FFC2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089F6C7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77CD257A" w14:textId="4DF3DE4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A0F95BD" w14:textId="4755C4A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62CDBF9" w14:textId="77777777" w:rsidTr="00B86C2D">
        <w:trPr>
          <w:cantSplit/>
        </w:trPr>
        <w:tc>
          <w:tcPr>
            <w:tcW w:w="1200" w:type="dxa"/>
          </w:tcPr>
          <w:p w14:paraId="54A6BE07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BD5038A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946" w:type="dxa"/>
          </w:tcPr>
          <w:p w14:paraId="55F58C50" w14:textId="47A216DB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814C855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74DB536F" w14:textId="77777777" w:rsidTr="00B86C2D">
        <w:trPr>
          <w:cantSplit/>
        </w:trPr>
        <w:tc>
          <w:tcPr>
            <w:tcW w:w="1200" w:type="dxa"/>
          </w:tcPr>
          <w:p w14:paraId="61FFCC1A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45E9D2" w14:textId="204E4B4A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946" w:type="dxa"/>
          </w:tcPr>
          <w:p w14:paraId="6E27F81A" w14:textId="138B2BC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E65DCFB" w14:textId="37859534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B86C2D">
        <w:trPr>
          <w:cantSplit/>
        </w:trPr>
        <w:tc>
          <w:tcPr>
            <w:tcW w:w="1200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946" w:type="dxa"/>
          </w:tcPr>
          <w:p w14:paraId="10C0736D" w14:textId="4F03EC1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B2778E" w:rsidRPr="00D52614" w14:paraId="65234AA0" w14:textId="77777777" w:rsidTr="00B86C2D">
        <w:trPr>
          <w:cantSplit/>
        </w:trPr>
        <w:tc>
          <w:tcPr>
            <w:tcW w:w="1200" w:type="dxa"/>
          </w:tcPr>
          <w:p w14:paraId="05DDD5E1" w14:textId="77777777" w:rsidR="00B2778E" w:rsidRPr="00D52614" w:rsidRDefault="00B2778E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A62D5CE" w14:textId="09122FAC" w:rsidR="00B2778E" w:rsidRPr="00D52614" w:rsidRDefault="00B2778E" w:rsidP="00E025F6">
            <w:pPr>
              <w:tabs>
                <w:tab w:val="left" w:pos="720"/>
              </w:tabs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B2778E">
              <w:rPr>
                <w:bCs/>
                <w:sz w:val="26"/>
                <w:szCs w:val="26"/>
              </w:rPr>
              <w:t xml:space="preserve">BIM Models provided by the </w:t>
            </w:r>
            <w:r w:rsidRPr="00E025F6">
              <w:rPr>
                <w:bCs/>
                <w:i/>
                <w:sz w:val="26"/>
                <w:szCs w:val="26"/>
              </w:rPr>
              <w:t>Client</w:t>
            </w:r>
            <w:r>
              <w:rPr>
                <w:bCs/>
                <w:sz w:val="26"/>
                <w:szCs w:val="26"/>
              </w:rPr>
              <w:tab/>
            </w:r>
          </w:p>
        </w:tc>
        <w:tc>
          <w:tcPr>
            <w:tcW w:w="1946" w:type="dxa"/>
          </w:tcPr>
          <w:p w14:paraId="2CB11B1A" w14:textId="3D9C348F" w:rsidR="00B2778E" w:rsidRDefault="007C57B2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2778E">
              <w:rPr>
                <w:rFonts w:hint="eastAsia"/>
                <w:sz w:val="26"/>
                <w:szCs w:val="26"/>
              </w:rPr>
              <w:t>.2.2025</w:t>
            </w:r>
          </w:p>
        </w:tc>
        <w:tc>
          <w:tcPr>
            <w:tcW w:w="1881" w:type="dxa"/>
          </w:tcPr>
          <w:p w14:paraId="21697111" w14:textId="77777777" w:rsidR="00B2778E" w:rsidRPr="00D52614" w:rsidRDefault="00B2778E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53A4CE47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>: Please be reminded to check the cross-reference with other parts of the tender and contract documents are correct.</w:t>
      </w:r>
      <w:r w:rsidRPr="000B3305">
        <w:rPr>
          <w:sz w:val="26"/>
          <w:szCs w:val="26"/>
        </w:rPr>
        <w:t>]</w:t>
      </w:r>
    </w:p>
    <w:p w14:paraId="44184A88" w14:textId="77777777" w:rsidR="00A24422" w:rsidRPr="000E411A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  <w:lang w:val="en-US"/>
        </w:rPr>
      </w:pPr>
    </w:p>
    <w:sectPr w:rsidR="00A24422" w:rsidRPr="000E411A" w:rsidSect="00462E23">
      <w:footerReference w:type="default" r:id="rId8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09F7" w14:textId="77777777" w:rsidR="00AD18D2" w:rsidRDefault="00AD18D2" w:rsidP="00A24422">
      <w:pPr>
        <w:pStyle w:val="ac"/>
      </w:pPr>
      <w:r>
        <w:separator/>
      </w:r>
    </w:p>
  </w:endnote>
  <w:endnote w:type="continuationSeparator" w:id="0">
    <w:p w14:paraId="50FEA726" w14:textId="77777777" w:rsidR="00AD18D2" w:rsidRDefault="00AD18D2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1A5908" w:rsidRDefault="00462E23">
    <w:pPr>
      <w:pStyle w:val="a5"/>
      <w:pBdr>
        <w:bottom w:val="single" w:sz="12" w:space="1" w:color="auto"/>
      </w:pBdr>
      <w:rPr>
        <w:lang w:val="en-GB"/>
      </w:rPr>
    </w:pPr>
  </w:p>
  <w:p w14:paraId="02A1546A" w14:textId="77777777" w:rsidR="00462E23" w:rsidRPr="001A5908" w:rsidRDefault="00462E23">
    <w:pPr>
      <w:pStyle w:val="a5"/>
    </w:pPr>
  </w:p>
  <w:p w14:paraId="023010D9" w14:textId="42091929" w:rsidR="00462E23" w:rsidRPr="001A5908" w:rsidRDefault="00462E23" w:rsidP="00A400E5">
    <w:pPr>
      <w:pStyle w:val="a5"/>
      <w:tabs>
        <w:tab w:val="clear" w:pos="4153"/>
        <w:tab w:val="clear" w:pos="8306"/>
        <w:tab w:val="left" w:pos="3600"/>
        <w:tab w:val="left" w:pos="7797"/>
      </w:tabs>
      <w:rPr>
        <w:lang w:eastAsia="zh-HK"/>
      </w:rPr>
    </w:pPr>
    <w:r w:rsidRPr="001A5908">
      <w:rPr>
        <w:rFonts w:hint="eastAsia"/>
        <w:b/>
        <w:bCs/>
        <w:iCs/>
        <w:lang w:eastAsia="zh-HK"/>
      </w:rPr>
      <w:t xml:space="preserve">Library of Standard </w:t>
    </w:r>
    <w:r w:rsidR="0087248A" w:rsidRPr="001A5908">
      <w:rPr>
        <w:b/>
        <w:bCs/>
        <w:iCs/>
        <w:lang w:eastAsia="zh-HK"/>
      </w:rPr>
      <w:t>N</w:t>
    </w:r>
    <w:r w:rsidR="001A5908">
      <w:rPr>
        <w:b/>
        <w:bCs/>
        <w:iCs/>
        <w:lang w:eastAsia="zh-HK"/>
      </w:rPr>
      <w:t>TT for NEC</w:t>
    </w:r>
    <w:r w:rsidR="00D52614" w:rsidRPr="001A5908">
      <w:rPr>
        <w:b/>
        <w:bCs/>
        <w:iCs/>
        <w:lang w:eastAsia="zh-HK"/>
      </w:rPr>
      <w:t xml:space="preserve"> ECC</w:t>
    </w:r>
    <w:r w:rsidR="001A5908">
      <w:rPr>
        <w:b/>
        <w:bCs/>
        <w:iCs/>
        <w:lang w:eastAsia="zh-HK"/>
      </w:rPr>
      <w:t xml:space="preserve"> HK Edition</w:t>
    </w:r>
    <w:r w:rsidR="00D52614" w:rsidRPr="001A5908">
      <w:rPr>
        <w:b/>
        <w:bCs/>
        <w:iCs/>
        <w:lang w:eastAsia="zh-HK"/>
      </w:rPr>
      <w:t xml:space="preserve"> (</w:t>
    </w:r>
    <w:r w:rsidR="00DF1F1B">
      <w:rPr>
        <w:b/>
        <w:bCs/>
        <w:iCs/>
        <w:lang w:eastAsia="zh-HK"/>
      </w:rPr>
      <w:t>09</w:t>
    </w:r>
    <w:r w:rsidR="001A5908">
      <w:rPr>
        <w:b/>
        <w:bCs/>
        <w:iCs/>
        <w:lang w:eastAsia="zh-HK"/>
      </w:rPr>
      <w:t>.</w:t>
    </w:r>
    <w:r w:rsidR="00DF1F1B">
      <w:rPr>
        <w:b/>
        <w:bCs/>
        <w:iCs/>
        <w:lang w:eastAsia="zh-HK"/>
      </w:rPr>
      <w:t>03</w:t>
    </w:r>
    <w:r w:rsidR="001A5908">
      <w:rPr>
        <w:b/>
        <w:bCs/>
        <w:iCs/>
        <w:lang w:eastAsia="zh-HK"/>
      </w:rPr>
      <w:t>.202</w:t>
    </w:r>
    <w:r w:rsidR="00DF1F1B">
      <w:rPr>
        <w:b/>
        <w:bCs/>
        <w:iCs/>
        <w:lang w:eastAsia="zh-HK"/>
      </w:rPr>
      <w:t>6</w:t>
    </w:r>
    <w:r w:rsidR="00D52614" w:rsidRPr="001A5908">
      <w:rPr>
        <w:b/>
        <w:bCs/>
        <w:iCs/>
        <w:lang w:eastAsia="zh-HK"/>
      </w:rPr>
      <w:t>)</w:t>
    </w:r>
    <w:r w:rsidRPr="001A5908">
      <w:rPr>
        <w:b/>
        <w:bCs/>
        <w:iCs/>
      </w:rPr>
      <w:tab/>
      <w:t>Page</w:t>
    </w:r>
    <w:r w:rsidR="00D52614" w:rsidRPr="001A5908">
      <w:rPr>
        <w:b/>
        <w:bCs/>
        <w:iCs/>
      </w:rPr>
      <w:t xml:space="preserve"> Index -</w:t>
    </w:r>
    <w:r w:rsidRPr="001A5908">
      <w:rPr>
        <w:b/>
        <w:bCs/>
        <w:iCs/>
      </w:rPr>
      <w:t xml:space="preserve"> </w:t>
    </w:r>
    <w:r w:rsidR="00AA0FAC" w:rsidRPr="001A5908">
      <w:rPr>
        <w:b/>
        <w:bCs/>
        <w:iCs/>
      </w:rPr>
      <w:fldChar w:fldCharType="begin"/>
    </w:r>
    <w:r w:rsidR="00AA0FAC" w:rsidRPr="001A5908">
      <w:rPr>
        <w:b/>
        <w:bCs/>
        <w:iCs/>
      </w:rPr>
      <w:instrText>PAGE   \* MERGEFORMAT</w:instrText>
    </w:r>
    <w:r w:rsidR="00AA0FAC" w:rsidRPr="001A5908">
      <w:rPr>
        <w:b/>
        <w:bCs/>
        <w:iCs/>
      </w:rPr>
      <w:fldChar w:fldCharType="separate"/>
    </w:r>
    <w:r w:rsidR="00CF3CBA">
      <w:rPr>
        <w:b/>
        <w:bCs/>
        <w:iCs/>
        <w:noProof/>
      </w:rPr>
      <w:t>4</w:t>
    </w:r>
    <w:r w:rsidR="00AA0FAC" w:rsidRPr="001A5908">
      <w:rPr>
        <w:b/>
        <w:bCs/>
        <w:iCs/>
      </w:rPr>
      <w:fldChar w:fldCharType="end"/>
    </w:r>
    <w:r w:rsidRPr="001A5908">
      <w:rPr>
        <w:b/>
        <w:bCs/>
        <w:iCs/>
      </w:rPr>
      <w:t xml:space="preserve"> of </w:t>
    </w:r>
    <w:r w:rsidR="00A10FF1" w:rsidRPr="001A5908">
      <w:rPr>
        <w:b/>
        <w:bCs/>
        <w:iCs/>
      </w:rPr>
      <w:fldChar w:fldCharType="begin"/>
    </w:r>
    <w:r w:rsidR="00A10FF1" w:rsidRPr="001A5908">
      <w:rPr>
        <w:b/>
        <w:bCs/>
        <w:iCs/>
      </w:rPr>
      <w:instrText xml:space="preserve"> NUMPAGES   \* MERGEFORMAT </w:instrText>
    </w:r>
    <w:r w:rsidR="00A10FF1" w:rsidRPr="001A5908">
      <w:rPr>
        <w:b/>
        <w:bCs/>
        <w:iCs/>
      </w:rPr>
      <w:fldChar w:fldCharType="separate"/>
    </w:r>
    <w:r w:rsidR="00CF3CBA">
      <w:rPr>
        <w:b/>
        <w:bCs/>
        <w:iCs/>
        <w:noProof/>
      </w:rPr>
      <w:t>4</w:t>
    </w:r>
    <w:r w:rsidR="00A10FF1" w:rsidRPr="001A59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9467" w14:textId="77777777" w:rsidR="00AD18D2" w:rsidRDefault="00AD18D2" w:rsidP="00A24422">
      <w:pPr>
        <w:pStyle w:val="ac"/>
      </w:pPr>
      <w:r>
        <w:separator/>
      </w:r>
    </w:p>
  </w:footnote>
  <w:footnote w:type="continuationSeparator" w:id="0">
    <w:p w14:paraId="7059DB73" w14:textId="77777777" w:rsidR="00AD18D2" w:rsidRDefault="00AD18D2" w:rsidP="00A24422">
      <w:pPr>
        <w:pStyle w:val="ac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46BF8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97705"/>
    <w:rsid w:val="000A17DF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411A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DA4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A590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2485"/>
    <w:rsid w:val="002B3D0B"/>
    <w:rsid w:val="002B5652"/>
    <w:rsid w:val="002B5AD9"/>
    <w:rsid w:val="002B5BC8"/>
    <w:rsid w:val="002B5DFD"/>
    <w:rsid w:val="002B733F"/>
    <w:rsid w:val="002C0B5E"/>
    <w:rsid w:val="002C32D2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7265A"/>
    <w:rsid w:val="00373EF4"/>
    <w:rsid w:val="00381BDB"/>
    <w:rsid w:val="003841EF"/>
    <w:rsid w:val="0038638E"/>
    <w:rsid w:val="003868A6"/>
    <w:rsid w:val="0038766C"/>
    <w:rsid w:val="00390C73"/>
    <w:rsid w:val="00392282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60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11B9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9D7"/>
    <w:rsid w:val="00517E98"/>
    <w:rsid w:val="00523351"/>
    <w:rsid w:val="00531BD8"/>
    <w:rsid w:val="00536D76"/>
    <w:rsid w:val="00540B8D"/>
    <w:rsid w:val="0054412E"/>
    <w:rsid w:val="0054799A"/>
    <w:rsid w:val="00551237"/>
    <w:rsid w:val="00554183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97E05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56CD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66C"/>
    <w:rsid w:val="006C2786"/>
    <w:rsid w:val="006C55FF"/>
    <w:rsid w:val="006C7DD1"/>
    <w:rsid w:val="006D3BCE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37137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42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7B2"/>
    <w:rsid w:val="007C5CC0"/>
    <w:rsid w:val="007C7307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1B27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4281"/>
    <w:rsid w:val="00876297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3F0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0D45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3B35"/>
    <w:rsid w:val="009C4DFF"/>
    <w:rsid w:val="009C73CE"/>
    <w:rsid w:val="009C74BB"/>
    <w:rsid w:val="009D00F2"/>
    <w:rsid w:val="009D39F2"/>
    <w:rsid w:val="009E4D94"/>
    <w:rsid w:val="009E5330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00E5"/>
    <w:rsid w:val="00A44ABB"/>
    <w:rsid w:val="00A45E30"/>
    <w:rsid w:val="00A45EA3"/>
    <w:rsid w:val="00A5184E"/>
    <w:rsid w:val="00A56E71"/>
    <w:rsid w:val="00A67709"/>
    <w:rsid w:val="00A73D20"/>
    <w:rsid w:val="00A82A3F"/>
    <w:rsid w:val="00A8370E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6D9"/>
    <w:rsid w:val="00AC39B6"/>
    <w:rsid w:val="00AC3D15"/>
    <w:rsid w:val="00AC57B2"/>
    <w:rsid w:val="00AC5EA2"/>
    <w:rsid w:val="00AD078F"/>
    <w:rsid w:val="00AD18D2"/>
    <w:rsid w:val="00AD4BD8"/>
    <w:rsid w:val="00AD706E"/>
    <w:rsid w:val="00AE0087"/>
    <w:rsid w:val="00AE028E"/>
    <w:rsid w:val="00AE2E27"/>
    <w:rsid w:val="00AE6888"/>
    <w:rsid w:val="00AE7A65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78E"/>
    <w:rsid w:val="00B27D05"/>
    <w:rsid w:val="00B32942"/>
    <w:rsid w:val="00B3614E"/>
    <w:rsid w:val="00B36388"/>
    <w:rsid w:val="00B404C1"/>
    <w:rsid w:val="00B4219A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86115"/>
    <w:rsid w:val="00B86C2D"/>
    <w:rsid w:val="00B92354"/>
    <w:rsid w:val="00B96816"/>
    <w:rsid w:val="00B973DD"/>
    <w:rsid w:val="00B9765C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2559"/>
    <w:rsid w:val="00C24B90"/>
    <w:rsid w:val="00C3060E"/>
    <w:rsid w:val="00C3133E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6E9F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1C36"/>
    <w:rsid w:val="00CF2E5C"/>
    <w:rsid w:val="00CF3CBA"/>
    <w:rsid w:val="00CF4AE9"/>
    <w:rsid w:val="00CF5E83"/>
    <w:rsid w:val="00CF6E34"/>
    <w:rsid w:val="00D01647"/>
    <w:rsid w:val="00D02AB5"/>
    <w:rsid w:val="00D02EA7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0D5"/>
    <w:rsid w:val="00DD1751"/>
    <w:rsid w:val="00DD2EE7"/>
    <w:rsid w:val="00DD2FA4"/>
    <w:rsid w:val="00DE1019"/>
    <w:rsid w:val="00DE2579"/>
    <w:rsid w:val="00DE58C0"/>
    <w:rsid w:val="00DE7241"/>
    <w:rsid w:val="00DF0501"/>
    <w:rsid w:val="00DF1F1B"/>
    <w:rsid w:val="00DF5F80"/>
    <w:rsid w:val="00E02521"/>
    <w:rsid w:val="00E025F6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57390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4B60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47CE0-9976-4F1E-A9C6-281637B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649</Words>
  <Characters>3702</Characters>
  <Application>Microsoft Office Word</Application>
  <DocSecurity>0</DocSecurity>
  <Lines>30</Lines>
  <Paragraphs>8</Paragraphs>
  <ScaleCrop>false</ScaleCrop>
  <Company>HKSARG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13</cp:revision>
  <cp:lastPrinted>2026-03-10T03:13:00Z</cp:lastPrinted>
  <dcterms:created xsi:type="dcterms:W3CDTF">2025-06-10T08:09:00Z</dcterms:created>
  <dcterms:modified xsi:type="dcterms:W3CDTF">2026-03-10T03:13:00Z</dcterms:modified>
</cp:coreProperties>
</file>