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Tr="008E5326">
        <w:trPr>
          <w:tblHeader/>
        </w:trPr>
        <w:tc>
          <w:tcPr>
            <w:tcW w:w="5247" w:type="dxa"/>
            <w:tcBorders>
              <w:bottom w:val="single" w:sz="4" w:space="0" w:color="auto"/>
            </w:tcBorders>
          </w:tcPr>
          <w:p w:rsidR="00427391" w:rsidRDefault="00427391" w:rsidP="00453EC7">
            <w:pPr>
              <w:pStyle w:val="a9"/>
              <w:spacing w:beforeLines="30" w:before="108" w:afterLines="30" w:after="108"/>
              <w:rPr>
                <w:sz w:val="24"/>
              </w:rPr>
            </w:pPr>
            <w:r>
              <w:rPr>
                <w:sz w:val="24"/>
              </w:rPr>
              <w:t>Clause</w:t>
            </w:r>
          </w:p>
        </w:tc>
        <w:tc>
          <w:tcPr>
            <w:tcW w:w="4321" w:type="dxa"/>
            <w:tcBorders>
              <w:bottom w:val="single" w:sz="4" w:space="0" w:color="auto"/>
            </w:tcBorders>
          </w:tcPr>
          <w:p w:rsidR="00427391" w:rsidRDefault="00427391" w:rsidP="00453EC7">
            <w:pPr>
              <w:pStyle w:val="a9"/>
              <w:spacing w:beforeLines="30" w:before="108" w:afterLines="30" w:after="108"/>
              <w:rPr>
                <w:sz w:val="24"/>
              </w:rPr>
            </w:pPr>
            <w:r>
              <w:rPr>
                <w:sz w:val="24"/>
              </w:rPr>
              <w:t>Remarks/Guidelines</w:t>
            </w:r>
          </w:p>
        </w:tc>
      </w:tr>
      <w:tr w:rsidR="008E5326" w:rsidRPr="00070E5A" w:rsidTr="00820936">
        <w:tc>
          <w:tcPr>
            <w:tcW w:w="9568" w:type="dxa"/>
            <w:gridSpan w:val="2"/>
            <w:tcBorders>
              <w:top w:val="single" w:sz="4" w:space="0" w:color="auto"/>
              <w:bottom w:val="nil"/>
            </w:tcBorders>
          </w:tcPr>
          <w:p w:rsidR="008E5326" w:rsidRPr="00070E5A" w:rsidRDefault="0004295E" w:rsidP="00942282">
            <w:pPr>
              <w:pStyle w:val="a9"/>
              <w:tabs>
                <w:tab w:val="left" w:pos="284"/>
                <w:tab w:val="left" w:pos="1843"/>
              </w:tabs>
              <w:spacing w:beforeLines="30" w:before="108" w:afterLines="30" w:after="108"/>
              <w:ind w:rightChars="60" w:right="144"/>
              <w:jc w:val="both"/>
              <w:rPr>
                <w:bCs w:val="0"/>
                <w:sz w:val="24"/>
                <w:lang w:eastAsia="zh-HK"/>
              </w:rPr>
            </w:pPr>
            <w:r>
              <w:rPr>
                <w:bCs w:val="0"/>
                <w:sz w:val="24"/>
                <w:lang w:eastAsia="zh-HK"/>
              </w:rPr>
              <w:t xml:space="preserve">NTT </w:t>
            </w:r>
            <w:r w:rsidR="00F650FA">
              <w:rPr>
                <w:bCs w:val="0"/>
                <w:sz w:val="24"/>
                <w:lang w:eastAsia="zh-HK"/>
              </w:rPr>
              <w:t>C</w:t>
            </w:r>
            <w:r w:rsidR="008456C2">
              <w:rPr>
                <w:bCs w:val="0"/>
                <w:sz w:val="24"/>
                <w:lang w:eastAsia="zh-HK"/>
              </w:rPr>
              <w:t>2</w:t>
            </w:r>
            <w:r w:rsidR="00DB0AF0">
              <w:rPr>
                <w:bCs w:val="0"/>
                <w:sz w:val="24"/>
                <w:lang w:eastAsia="zh-HK"/>
              </w:rPr>
              <w:t>4</w:t>
            </w:r>
            <w:r w:rsidR="00942282">
              <w:rPr>
                <w:bCs w:val="0"/>
                <w:sz w:val="24"/>
                <w:lang w:eastAsia="zh-HK"/>
              </w:rPr>
              <w:tab/>
            </w:r>
            <w:r w:rsidR="00DB0AF0">
              <w:rPr>
                <w:bCs w:val="0"/>
                <w:sz w:val="24"/>
                <w:lang w:eastAsia="zh-HK"/>
              </w:rPr>
              <w:t>BIM Models</w:t>
            </w:r>
            <w:r w:rsidR="00DB0AF0">
              <w:rPr>
                <w:rFonts w:hint="eastAsia"/>
                <w:bCs w:val="0"/>
                <w:sz w:val="24"/>
                <w:lang w:eastAsia="zh-HK"/>
              </w:rPr>
              <w:t xml:space="preserve"> </w:t>
            </w:r>
            <w:r w:rsidR="00DB0AF0" w:rsidRPr="00DB0AF0">
              <w:rPr>
                <w:bCs w:val="0"/>
                <w:sz w:val="24"/>
                <w:lang w:eastAsia="zh-HK"/>
              </w:rPr>
              <w:t>provided by the</w:t>
            </w:r>
            <w:r w:rsidR="00DB0AF0">
              <w:rPr>
                <w:rFonts w:hint="eastAsia"/>
                <w:bCs w:val="0"/>
                <w:sz w:val="24"/>
                <w:lang w:eastAsia="zh-HK"/>
              </w:rPr>
              <w:t xml:space="preserve"> </w:t>
            </w:r>
            <w:r w:rsidR="00DB0AF0" w:rsidRPr="00942282">
              <w:rPr>
                <w:bCs w:val="0"/>
                <w:i/>
                <w:sz w:val="24"/>
                <w:lang w:eastAsia="zh-HK"/>
              </w:rPr>
              <w:t>Client</w:t>
            </w:r>
          </w:p>
        </w:tc>
      </w:tr>
      <w:tr w:rsidR="00DB0AF0" w:rsidRPr="007612CA" w:rsidTr="00520FCA">
        <w:tc>
          <w:tcPr>
            <w:tcW w:w="5247" w:type="dxa"/>
            <w:tcBorders>
              <w:top w:val="single" w:sz="4" w:space="0" w:color="auto"/>
              <w:left w:val="single" w:sz="4" w:space="0" w:color="auto"/>
              <w:bottom w:val="single" w:sz="4" w:space="0" w:color="auto"/>
              <w:right w:val="single" w:sz="4" w:space="0" w:color="auto"/>
            </w:tcBorders>
          </w:tcPr>
          <w:p w:rsidR="00DB0AF0" w:rsidRPr="00EB7D7C" w:rsidRDefault="00DB0AF0" w:rsidP="00DB1673">
            <w:pPr>
              <w:widowControl/>
              <w:numPr>
                <w:ilvl w:val="0"/>
                <w:numId w:val="38"/>
              </w:numPr>
              <w:shd w:val="clear" w:color="auto" w:fill="FFFFFF" w:themeFill="background1"/>
              <w:ind w:right="86"/>
              <w:jc w:val="both"/>
              <w:rPr>
                <w:shd w:val="clear" w:color="auto" w:fill="FFFFFF" w:themeFill="background1"/>
                <w:lang w:val="en-GB"/>
              </w:rPr>
            </w:pPr>
            <w:r w:rsidRPr="00EB7D7C">
              <w:rPr>
                <w:rFonts w:eastAsia="標楷體"/>
                <w:shd w:val="clear" w:color="auto" w:fill="FFFFFF" w:themeFill="background1"/>
                <w:lang w:eastAsia="zh-CN"/>
              </w:rPr>
              <w:t>Tenderer</w:t>
            </w:r>
            <w:r w:rsidR="00D133DE">
              <w:rPr>
                <w:rFonts w:eastAsia="標楷體"/>
                <w:shd w:val="clear" w:color="auto" w:fill="FFFFFF" w:themeFill="background1"/>
                <w:lang w:eastAsia="zh-CN"/>
              </w:rPr>
              <w:t>’s attention is drawn to c</w:t>
            </w:r>
            <w:r w:rsidR="00F13F76">
              <w:rPr>
                <w:rFonts w:eastAsia="標楷體"/>
                <w:shd w:val="clear" w:color="auto" w:fill="FFFFFF" w:themeFill="background1"/>
                <w:lang w:eastAsia="zh-CN"/>
              </w:rPr>
              <w:t>lause [4.3]</w:t>
            </w:r>
            <w:r w:rsidRPr="00EB7D7C">
              <w:rPr>
                <w:rFonts w:eastAsia="標楷體"/>
                <w:shd w:val="clear" w:color="auto" w:fill="FFFFFF" w:themeFill="background1"/>
                <w:lang w:eastAsia="zh-CN"/>
              </w:rPr>
              <w:t xml:space="preserve"> of the Scope, in the </w:t>
            </w:r>
            <w:r w:rsidRPr="00DB1673">
              <w:rPr>
                <w:shd w:val="clear" w:color="auto" w:fill="FFFFFF" w:themeFill="background1"/>
                <w:lang w:eastAsia="zh-CN"/>
              </w:rPr>
              <w:t>event</w:t>
            </w:r>
            <w:r w:rsidRPr="00EB7D7C">
              <w:rPr>
                <w:rFonts w:eastAsia="標楷體"/>
                <w:shd w:val="clear" w:color="auto" w:fill="FFFFFF" w:themeFill="background1"/>
                <w:lang w:eastAsia="zh-CN"/>
              </w:rPr>
              <w:t xml:space="preserve"> of any discrepancy between other parts of the Scope and BIM Contents, other parts of the Scope shall take precedence over BIM Contents. </w:t>
            </w:r>
          </w:p>
          <w:p w:rsidR="00DB0AF0" w:rsidRPr="00EB7D7C" w:rsidRDefault="00DB0AF0" w:rsidP="00DB0AF0">
            <w:pPr>
              <w:pStyle w:val="af3"/>
              <w:autoSpaceDE w:val="0"/>
              <w:autoSpaceDN w:val="0"/>
              <w:adjustRightInd w:val="0"/>
              <w:ind w:leftChars="0" w:left="360"/>
              <w:jc w:val="both"/>
              <w:rPr>
                <w:rFonts w:eastAsia="標楷體"/>
                <w:bCs/>
                <w:shd w:val="clear" w:color="auto" w:fill="FFFFFF" w:themeFill="background1"/>
                <w:lang w:val="en-GB"/>
              </w:rPr>
            </w:pPr>
          </w:p>
          <w:p w:rsidR="00DB0AF0" w:rsidRDefault="00DB0AF0" w:rsidP="00DB0AF0">
            <w:pPr>
              <w:widowControl/>
              <w:numPr>
                <w:ilvl w:val="0"/>
                <w:numId w:val="38"/>
              </w:numPr>
              <w:shd w:val="clear" w:color="auto" w:fill="FFFFFF" w:themeFill="background1"/>
              <w:ind w:right="86"/>
              <w:jc w:val="both"/>
              <w:rPr>
                <w:shd w:val="clear" w:color="auto" w:fill="FFFFFF" w:themeFill="background1"/>
              </w:rPr>
            </w:pPr>
            <w:r w:rsidRPr="00EB7D7C">
              <w:rPr>
                <w:spacing w:val="-2"/>
                <w:shd w:val="clear" w:color="auto" w:fill="FFFFFF" w:themeFill="background1"/>
              </w:rPr>
              <w:t>Tenderers shall note that the BIM Contents Provisions are adopted for this contract. Tenderer’</w:t>
            </w:r>
            <w:r w:rsidR="002A32C8">
              <w:rPr>
                <w:spacing w:val="-2"/>
                <w:shd w:val="clear" w:color="auto" w:fill="FFFFFF" w:themeFill="background1"/>
              </w:rPr>
              <w:t xml:space="preserve">s attention is </w:t>
            </w:r>
            <w:r w:rsidR="002A32C8" w:rsidRPr="00DB1673">
              <w:rPr>
                <w:shd w:val="clear" w:color="auto" w:fill="FFFFFF" w:themeFill="background1"/>
                <w:lang w:eastAsia="zh-CN"/>
              </w:rPr>
              <w:t>drawn</w:t>
            </w:r>
            <w:r w:rsidR="002A32C8">
              <w:rPr>
                <w:spacing w:val="-2"/>
                <w:shd w:val="clear" w:color="auto" w:fill="FFFFFF" w:themeFill="background1"/>
              </w:rPr>
              <w:t xml:space="preserve"> to </w:t>
            </w:r>
            <w:r w:rsidR="00D133DE">
              <w:rPr>
                <w:spacing w:val="-2"/>
                <w:shd w:val="clear" w:color="auto" w:fill="FFFFFF" w:themeFill="background1"/>
              </w:rPr>
              <w:t>clause</w:t>
            </w:r>
            <w:r w:rsidR="002A32C8">
              <w:rPr>
                <w:spacing w:val="-2"/>
                <w:shd w:val="clear" w:color="auto" w:fill="FFFFFF" w:themeFill="background1"/>
              </w:rPr>
              <w:t> [3.3]</w:t>
            </w:r>
            <w:r w:rsidRPr="00EB7D7C">
              <w:rPr>
                <w:spacing w:val="-2"/>
                <w:shd w:val="clear" w:color="auto" w:fill="FFFFFF" w:themeFill="background1"/>
              </w:rPr>
              <w:t xml:space="preserve"> of the Scope and that the information contained in the </w:t>
            </w:r>
            <w:r w:rsidRPr="00EB7D7C">
              <w:rPr>
                <w:shd w:val="clear" w:color="auto" w:fill="FFFFFF" w:themeFill="background1"/>
                <w:lang w:eastAsia="zh-CN"/>
              </w:rPr>
              <w:t xml:space="preserve">BIM Models </w:t>
            </w:r>
            <w:r w:rsidR="00F13F76">
              <w:rPr>
                <w:shd w:val="clear" w:color="auto" w:fill="FFFFFF" w:themeFill="background1"/>
              </w:rPr>
              <w:t>as listed in the Appendix </w:t>
            </w:r>
            <w:r w:rsidRPr="00EB7D7C">
              <w:rPr>
                <w:shd w:val="clear" w:color="auto" w:fill="FFFFFF" w:themeFill="background1"/>
              </w:rPr>
              <w:t>PS.[X] of the PS are provided for tender purpose. O</w:t>
            </w:r>
            <w:r w:rsidRPr="00EB7D7C">
              <w:rPr>
                <w:spacing w:val="-2"/>
                <w:shd w:val="clear" w:color="auto" w:fill="FFFFFF" w:themeFill="background1"/>
              </w:rPr>
              <w:t xml:space="preserve">nly the </w:t>
            </w:r>
            <w:r w:rsidRPr="00EB7D7C">
              <w:rPr>
                <w:shd w:val="clear" w:color="auto" w:fill="FFFFFF" w:themeFill="background1"/>
                <w:lang w:eastAsia="zh-CN"/>
              </w:rPr>
              <w:t xml:space="preserve">BIM Contents </w:t>
            </w:r>
            <w:r w:rsidRPr="00EB7D7C">
              <w:rPr>
                <w:rFonts w:eastAsia="標楷體"/>
                <w:shd w:val="clear" w:color="auto" w:fill="FFFFFF" w:themeFill="background1"/>
                <w:lang w:val="en-GB"/>
              </w:rPr>
              <w:t>particularly described</w:t>
            </w:r>
            <w:r w:rsidRPr="00EB7D7C">
              <w:rPr>
                <w:shd w:val="clear" w:color="auto" w:fill="FFFFFF" w:themeFill="background1"/>
                <w:lang w:val="en-GB"/>
              </w:rPr>
              <w:t xml:space="preserve"> in </w:t>
            </w:r>
            <w:r w:rsidR="002974EE">
              <w:rPr>
                <w:shd w:val="clear" w:color="auto" w:fill="FFFFFF" w:themeFill="background1"/>
                <w:lang w:val="en-GB"/>
              </w:rPr>
              <w:t>c</w:t>
            </w:r>
            <w:r w:rsidR="00077803">
              <w:rPr>
                <w:shd w:val="clear" w:color="auto" w:fill="FFFFFF" w:themeFill="background1"/>
                <w:lang w:val="en-GB"/>
              </w:rPr>
              <w:t>lause [3.3.1]</w:t>
            </w:r>
            <w:r w:rsidR="00DC2165">
              <w:rPr>
                <w:shd w:val="clear" w:color="auto" w:fill="FFFFFF" w:themeFill="background1"/>
                <w:lang w:val="en-GB"/>
              </w:rPr>
              <w:t xml:space="preserve"> of the Scope</w:t>
            </w:r>
            <w:bookmarkStart w:id="0" w:name="_GoBack"/>
            <w:bookmarkEnd w:id="0"/>
            <w:r w:rsidRPr="00EB7D7C">
              <w:rPr>
                <w:shd w:val="clear" w:color="auto" w:fill="FFFFFF" w:themeFill="background1"/>
                <w:lang w:eastAsia="zh-CN"/>
              </w:rPr>
              <w:t xml:space="preserve"> </w:t>
            </w:r>
            <w:r w:rsidRPr="00EB7D7C">
              <w:rPr>
                <w:spacing w:val="-2"/>
                <w:shd w:val="clear" w:color="auto" w:fill="FFFFFF" w:themeFill="background1"/>
              </w:rPr>
              <w:t>shall form part of the Scope. All other information shall be for reference only without any contractual force and shall not form part of the Scope.</w:t>
            </w:r>
            <w:r w:rsidRPr="00EB7D7C">
              <w:rPr>
                <w:shd w:val="clear" w:color="auto" w:fill="FFFFFF" w:themeFill="background1"/>
              </w:rPr>
              <w:t xml:space="preserve"> </w:t>
            </w:r>
          </w:p>
          <w:p w:rsidR="00DB1673" w:rsidRPr="00EB7D7C" w:rsidRDefault="00DB1673" w:rsidP="00DB1673">
            <w:pPr>
              <w:widowControl/>
              <w:shd w:val="clear" w:color="auto" w:fill="FFFFFF" w:themeFill="background1"/>
              <w:ind w:right="86"/>
              <w:jc w:val="both"/>
              <w:rPr>
                <w:shd w:val="clear" w:color="auto" w:fill="FFFFFF" w:themeFill="background1"/>
              </w:rPr>
            </w:pPr>
          </w:p>
          <w:p w:rsidR="00DB0AF0" w:rsidRPr="00EB7D7C" w:rsidRDefault="00DB0AF0" w:rsidP="00DB1673">
            <w:pPr>
              <w:widowControl/>
              <w:numPr>
                <w:ilvl w:val="0"/>
                <w:numId w:val="38"/>
              </w:numPr>
              <w:shd w:val="clear" w:color="auto" w:fill="FFFFFF" w:themeFill="background1"/>
              <w:ind w:right="86"/>
              <w:jc w:val="both"/>
              <w:rPr>
                <w:shd w:val="clear" w:color="auto" w:fill="FFFFFF" w:themeFill="background1"/>
              </w:rPr>
            </w:pPr>
            <w:r w:rsidRPr="00EB7D7C">
              <w:rPr>
                <w:spacing w:val="-2"/>
                <w:shd w:val="clear" w:color="auto" w:fill="FFFFFF" w:themeFill="background1"/>
              </w:rPr>
              <w:t xml:space="preserve">Tenderers shall </w:t>
            </w:r>
            <w:r w:rsidRPr="00DB1673">
              <w:rPr>
                <w:shd w:val="clear" w:color="auto" w:fill="FFFFFF" w:themeFill="background1"/>
                <w:lang w:eastAsia="zh-CN"/>
              </w:rPr>
              <w:t>note</w:t>
            </w:r>
            <w:r w:rsidRPr="00EB7D7C">
              <w:rPr>
                <w:spacing w:val="-2"/>
                <w:shd w:val="clear" w:color="auto" w:fill="FFFFFF" w:themeFill="background1"/>
              </w:rPr>
              <w:t xml:space="preserve"> that the </w:t>
            </w:r>
            <w:r w:rsidRPr="00EB7D7C">
              <w:rPr>
                <w:i/>
                <w:spacing w:val="-2"/>
                <w:shd w:val="clear" w:color="auto" w:fill="FFFFFF" w:themeFill="background1"/>
              </w:rPr>
              <w:t>Client</w:t>
            </w:r>
            <w:r w:rsidRPr="00EB7D7C">
              <w:rPr>
                <w:spacing w:val="-2"/>
                <w:shd w:val="clear" w:color="auto" w:fill="FFFFFF" w:themeFill="background1"/>
              </w:rPr>
              <w:t xml:space="preserve"> is not liable for the accuracy of the Reference BIM Contents. The </w:t>
            </w:r>
            <w:r w:rsidRPr="00EB7D7C">
              <w:rPr>
                <w:i/>
                <w:spacing w:val="-2"/>
                <w:shd w:val="clear" w:color="auto" w:fill="FFFFFF" w:themeFill="background1"/>
              </w:rPr>
              <w:t>Client</w:t>
            </w:r>
            <w:r w:rsidRPr="00EB7D7C">
              <w:rPr>
                <w:spacing w:val="-2"/>
                <w:shd w:val="clear" w:color="auto" w:fill="FFFFFF" w:themeFill="background1"/>
              </w:rPr>
              <w:t xml:space="preserve"> does not accept any liability and responsibility for loss or damages whatsoever arising out of or in connection with the Reference BIM Contents. Tenderers shall acknowledge and shall deem to have acknowledged any risks and consequences resulting from the use of, or reliance upon, the Reference BIM Contents. </w:t>
            </w:r>
          </w:p>
          <w:p w:rsidR="00DB0AF0" w:rsidRPr="00EB7D7C" w:rsidRDefault="00DB0AF0" w:rsidP="00DB0AF0">
            <w:pPr>
              <w:rPr>
                <w:shd w:val="clear" w:color="auto" w:fill="FFFFFF" w:themeFill="background1"/>
              </w:rPr>
            </w:pPr>
          </w:p>
          <w:p w:rsidR="00DB0AF0" w:rsidRPr="00EB7D7C" w:rsidRDefault="00DB0AF0" w:rsidP="00DB1673">
            <w:pPr>
              <w:widowControl/>
              <w:numPr>
                <w:ilvl w:val="0"/>
                <w:numId w:val="38"/>
              </w:numPr>
              <w:shd w:val="clear" w:color="auto" w:fill="FFFFFF" w:themeFill="background1"/>
              <w:ind w:right="86"/>
              <w:jc w:val="both"/>
              <w:rPr>
                <w:rFonts w:eastAsia="標楷體"/>
                <w:bCs/>
                <w:shd w:val="clear" w:color="auto" w:fill="FFFFFF" w:themeFill="background1"/>
                <w:lang w:val="en-GB"/>
              </w:rPr>
            </w:pPr>
            <w:r w:rsidRPr="00EB7D7C">
              <w:rPr>
                <w:shd w:val="clear" w:color="auto" w:fill="FFFFFF" w:themeFill="background1"/>
              </w:rPr>
              <w:t xml:space="preserve">Tenderers shall note </w:t>
            </w:r>
            <w:r w:rsidRPr="00EB7D7C">
              <w:rPr>
                <w:shd w:val="clear" w:color="auto" w:fill="FFFFFF" w:themeFill="background1"/>
                <w:lang w:eastAsia="zh-CN"/>
              </w:rPr>
              <w:t>that</w:t>
            </w:r>
            <w:r w:rsidRPr="00EB7D7C">
              <w:rPr>
                <w:shd w:val="clear" w:color="auto" w:fill="FFFFFF" w:themeFill="background1"/>
              </w:rPr>
              <w:t xml:space="preserve"> no clash or discrepancy identified within the BIM Models </w:t>
            </w:r>
            <w:r w:rsidRPr="00EB7D7C">
              <w:rPr>
                <w:rFonts w:eastAsia="標楷體"/>
                <w:shd w:val="clear" w:color="auto" w:fill="FFFFFF" w:themeFill="background1"/>
                <w:lang w:eastAsia="zh-CN"/>
              </w:rPr>
              <w:t>or between the BIM Contents and other parts of the Scope</w:t>
            </w:r>
            <w:r w:rsidRPr="00EB7D7C">
              <w:rPr>
                <w:shd w:val="clear" w:color="auto" w:fill="FFFFFF" w:themeFill="background1"/>
              </w:rPr>
              <w:t xml:space="preserve"> shall constitute a compensation event.</w:t>
            </w:r>
          </w:p>
          <w:p w:rsidR="00DB0AF0" w:rsidRPr="00EB7D7C" w:rsidRDefault="00DB0AF0" w:rsidP="00DB0AF0">
            <w:pPr>
              <w:autoSpaceDE w:val="0"/>
              <w:autoSpaceDN w:val="0"/>
              <w:adjustRightInd w:val="0"/>
              <w:jc w:val="both"/>
              <w:rPr>
                <w:rFonts w:eastAsia="標楷體"/>
                <w:bCs/>
                <w:shd w:val="clear" w:color="auto" w:fill="FFFFFF" w:themeFill="background1"/>
                <w:lang w:val="en-GB"/>
              </w:rPr>
            </w:pPr>
          </w:p>
        </w:tc>
        <w:tc>
          <w:tcPr>
            <w:tcW w:w="4321" w:type="dxa"/>
            <w:tcBorders>
              <w:top w:val="single" w:sz="4" w:space="0" w:color="auto"/>
              <w:left w:val="single" w:sz="4" w:space="0" w:color="auto"/>
              <w:bottom w:val="single" w:sz="4" w:space="0" w:color="auto"/>
              <w:right w:val="single" w:sz="4" w:space="0" w:color="auto"/>
            </w:tcBorders>
          </w:tcPr>
          <w:p w:rsidR="00DB0AF0" w:rsidRPr="00AC48A1" w:rsidRDefault="002A32C8" w:rsidP="00DB0AF0">
            <w:pPr>
              <w:ind w:leftChars="42" w:left="101"/>
              <w:jc w:val="both"/>
              <w:rPr>
                <w:color w:val="000000"/>
                <w:spacing w:val="-3"/>
              </w:rPr>
            </w:pPr>
            <w:r>
              <w:t xml:space="preserve">Please refer to DEVB </w:t>
            </w:r>
            <w:r w:rsidR="00BE07AD">
              <w:t>TC(W) No. </w:t>
            </w:r>
            <w:r>
              <w:t>1/2025</w:t>
            </w:r>
          </w:p>
        </w:tc>
      </w:tr>
    </w:tbl>
    <w:p w:rsidR="00A24422" w:rsidRPr="00AC48A1" w:rsidRDefault="00A24422" w:rsidP="00427391">
      <w:pPr>
        <w:spacing w:line="288" w:lineRule="auto"/>
        <w:ind w:left="360" w:right="28"/>
        <w:jc w:val="both"/>
      </w:pPr>
    </w:p>
    <w:sectPr w:rsidR="00A24422" w:rsidRPr="00AC48A1"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19" w:rsidRDefault="006A6B19" w:rsidP="00A24422">
      <w:pPr>
        <w:pStyle w:val="ae"/>
      </w:pPr>
      <w:r>
        <w:separator/>
      </w:r>
    </w:p>
  </w:endnote>
  <w:endnote w:type="continuationSeparator" w:id="0">
    <w:p w:rsidR="006A6B19" w:rsidRDefault="006A6B19"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D3" w:rsidRDefault="00A82D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23" w:rsidRPr="00E45E9F" w:rsidRDefault="00462E23">
    <w:pPr>
      <w:pStyle w:val="a6"/>
      <w:pBdr>
        <w:bottom w:val="single" w:sz="12" w:space="1" w:color="auto"/>
      </w:pBdr>
    </w:pPr>
  </w:p>
  <w:p w:rsidR="00462E23" w:rsidRPr="00E45E9F" w:rsidRDefault="00462E23">
    <w:pPr>
      <w:pStyle w:val="a6"/>
    </w:pPr>
  </w:p>
  <w:p w:rsidR="00462E23" w:rsidRPr="00E45E9F" w:rsidRDefault="00626235" w:rsidP="00E45E9F">
    <w:pPr>
      <w:pStyle w:val="a6"/>
      <w:tabs>
        <w:tab w:val="clear" w:pos="4153"/>
        <w:tab w:val="clear" w:pos="8306"/>
        <w:tab w:val="left" w:pos="3600"/>
        <w:tab w:val="left" w:pos="7513"/>
      </w:tabs>
      <w:rPr>
        <w:lang w:eastAsia="zh-HK"/>
      </w:rPr>
    </w:pPr>
    <w:r w:rsidRPr="00AC48A1">
      <w:rPr>
        <w:b/>
        <w:bCs/>
        <w:iCs/>
        <w:lang w:eastAsia="zh-HK"/>
      </w:rPr>
      <w:t xml:space="preserve">Library of Standard </w:t>
    </w:r>
    <w:r w:rsidR="008E5326" w:rsidRPr="00AC48A1">
      <w:rPr>
        <w:b/>
        <w:bCs/>
        <w:iCs/>
        <w:lang w:eastAsia="zh-HK"/>
      </w:rPr>
      <w:t>NT</w:t>
    </w:r>
    <w:r w:rsidRPr="00AC48A1">
      <w:rPr>
        <w:b/>
        <w:bCs/>
        <w:iCs/>
        <w:lang w:eastAsia="zh-HK"/>
      </w:rPr>
      <w:t>T for NEC ECC</w:t>
    </w:r>
    <w:r w:rsidRPr="00AC48A1">
      <w:rPr>
        <w:b/>
        <w:bCs/>
        <w:iCs/>
      </w:rPr>
      <w:t xml:space="preserve"> </w:t>
    </w:r>
    <w:r w:rsidR="00D60817" w:rsidRPr="00AC48A1">
      <w:rPr>
        <w:b/>
        <w:bCs/>
        <w:iCs/>
      </w:rPr>
      <w:t xml:space="preserve">HK Edition </w:t>
    </w:r>
    <w:r w:rsidRPr="00AC48A1">
      <w:rPr>
        <w:b/>
        <w:bCs/>
        <w:iCs/>
      </w:rPr>
      <w:t>(</w:t>
    </w:r>
    <w:r w:rsidR="00890368">
      <w:rPr>
        <w:b/>
        <w:bCs/>
        <w:iCs/>
      </w:rPr>
      <w:t>28</w:t>
    </w:r>
    <w:r w:rsidR="00DB0AF0">
      <w:rPr>
        <w:b/>
        <w:bCs/>
        <w:iCs/>
      </w:rPr>
      <w:t>.02</w:t>
    </w:r>
    <w:r w:rsidR="00D60817" w:rsidRPr="00AC48A1">
      <w:rPr>
        <w:b/>
        <w:bCs/>
        <w:iCs/>
      </w:rPr>
      <w:t>.202</w:t>
    </w:r>
    <w:r w:rsidR="00DB0AF0">
      <w:rPr>
        <w:b/>
        <w:bCs/>
        <w:iCs/>
      </w:rPr>
      <w:t>5</w:t>
    </w:r>
    <w:r w:rsidRPr="00AC48A1">
      <w:rPr>
        <w:b/>
        <w:bCs/>
        <w:iCs/>
      </w:rPr>
      <w:t>)</w:t>
    </w:r>
    <w:r w:rsidR="00462E23" w:rsidRPr="00AC48A1">
      <w:rPr>
        <w:b/>
        <w:bCs/>
        <w:iCs/>
      </w:rPr>
      <w:tab/>
      <w:t>Page</w:t>
    </w:r>
    <w:r w:rsidR="002D156D" w:rsidRPr="00AC48A1">
      <w:rPr>
        <w:b/>
        <w:bCs/>
        <w:iCs/>
      </w:rPr>
      <w:t xml:space="preserve"> NTT C2</w:t>
    </w:r>
    <w:r w:rsidR="00DB0AF0">
      <w:rPr>
        <w:b/>
        <w:bCs/>
        <w:iCs/>
      </w:rPr>
      <w:t>4</w:t>
    </w:r>
    <w:r w:rsidR="002D156D" w:rsidRPr="00AC48A1">
      <w:rPr>
        <w:b/>
        <w:bCs/>
        <w:iCs/>
      </w:rPr>
      <w:t xml:space="preserve"> -</w:t>
    </w:r>
    <w:r w:rsidR="00462E23" w:rsidRPr="00AC48A1">
      <w:rPr>
        <w:b/>
        <w:bCs/>
        <w:iCs/>
      </w:rPr>
      <w:t xml:space="preserve"> </w:t>
    </w:r>
    <w:r w:rsidR="00462E23" w:rsidRPr="00AC48A1">
      <w:rPr>
        <w:b/>
        <w:bCs/>
        <w:iCs/>
      </w:rPr>
      <w:fldChar w:fldCharType="begin"/>
    </w:r>
    <w:r w:rsidR="00462E23" w:rsidRPr="00AC48A1">
      <w:rPr>
        <w:b/>
        <w:bCs/>
        <w:iCs/>
      </w:rPr>
      <w:instrText xml:space="preserve"> PAGE </w:instrText>
    </w:r>
    <w:r w:rsidR="00462E23" w:rsidRPr="00AC48A1">
      <w:rPr>
        <w:b/>
        <w:bCs/>
        <w:iCs/>
      </w:rPr>
      <w:fldChar w:fldCharType="separate"/>
    </w:r>
    <w:r w:rsidR="00DC2165">
      <w:rPr>
        <w:b/>
        <w:bCs/>
        <w:iCs/>
        <w:noProof/>
      </w:rPr>
      <w:t>1</w:t>
    </w:r>
    <w:r w:rsidR="00462E23" w:rsidRPr="00AC48A1">
      <w:rPr>
        <w:b/>
        <w:bCs/>
        <w:iCs/>
      </w:rPr>
      <w:fldChar w:fldCharType="end"/>
    </w:r>
    <w:r w:rsidR="00462E23" w:rsidRPr="00AC48A1">
      <w:rPr>
        <w:b/>
        <w:bCs/>
        <w:iCs/>
      </w:rPr>
      <w:t xml:space="preserve"> of </w:t>
    </w:r>
    <w:r w:rsidR="003E336A" w:rsidRPr="00AC48A1">
      <w:rPr>
        <w:b/>
        <w:bCs/>
        <w:iCs/>
      </w:rPr>
      <w:fldChar w:fldCharType="begin"/>
    </w:r>
    <w:r w:rsidR="003E336A" w:rsidRPr="00AC48A1">
      <w:rPr>
        <w:b/>
        <w:bCs/>
        <w:iCs/>
      </w:rPr>
      <w:instrText xml:space="preserve"> NUMPAGES  </w:instrText>
    </w:r>
    <w:r w:rsidR="003E336A" w:rsidRPr="00AC48A1">
      <w:rPr>
        <w:b/>
        <w:bCs/>
        <w:iCs/>
      </w:rPr>
      <w:fldChar w:fldCharType="separate"/>
    </w:r>
    <w:r w:rsidR="00DC2165">
      <w:rPr>
        <w:b/>
        <w:bCs/>
        <w:iCs/>
        <w:noProof/>
      </w:rPr>
      <w:t>1</w:t>
    </w:r>
    <w:r w:rsidR="003E336A" w:rsidRPr="00AC48A1">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D3" w:rsidRDefault="00A82D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19" w:rsidRDefault="006A6B19" w:rsidP="00A24422">
      <w:pPr>
        <w:pStyle w:val="ae"/>
      </w:pPr>
      <w:r>
        <w:separator/>
      </w:r>
    </w:p>
  </w:footnote>
  <w:footnote w:type="continuationSeparator" w:id="0">
    <w:p w:rsidR="006A6B19" w:rsidRDefault="006A6B19"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D3" w:rsidRDefault="00A82D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D3" w:rsidRDefault="00A82D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32A3B44"/>
    <w:multiLevelType w:val="hybridMultilevel"/>
    <w:tmpl w:val="B01EF08E"/>
    <w:lvl w:ilvl="0" w:tplc="73CCE070">
      <w:start w:val="1"/>
      <w:numFmt w:val="lowerLetter"/>
      <w:lvlText w:val="(%1)"/>
      <w:lvlJc w:val="left"/>
      <w:pPr>
        <w:tabs>
          <w:tab w:val="num" w:pos="996"/>
        </w:tabs>
        <w:ind w:left="996" w:hanging="57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5433BD8"/>
    <w:multiLevelType w:val="hybridMultilevel"/>
    <w:tmpl w:val="95149B4A"/>
    <w:lvl w:ilvl="0" w:tplc="6D70C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31"/>
  </w:num>
  <w:num w:numId="7">
    <w:abstractNumId w:val="25"/>
  </w:num>
  <w:num w:numId="8">
    <w:abstractNumId w:val="18"/>
  </w:num>
  <w:num w:numId="9">
    <w:abstractNumId w:val="29"/>
  </w:num>
  <w:num w:numId="10">
    <w:abstractNumId w:val="34"/>
  </w:num>
  <w:num w:numId="11">
    <w:abstractNumId w:val="3"/>
  </w:num>
  <w:num w:numId="12">
    <w:abstractNumId w:val="32"/>
  </w:num>
  <w:num w:numId="13">
    <w:abstractNumId w:val="17"/>
  </w:num>
  <w:num w:numId="14">
    <w:abstractNumId w:val="36"/>
  </w:num>
  <w:num w:numId="15">
    <w:abstractNumId w:val="11"/>
  </w:num>
  <w:num w:numId="16">
    <w:abstractNumId w:val="16"/>
  </w:num>
  <w:num w:numId="17">
    <w:abstractNumId w:val="35"/>
  </w:num>
  <w:num w:numId="18">
    <w:abstractNumId w:val="19"/>
  </w:num>
  <w:num w:numId="19">
    <w:abstractNumId w:val="2"/>
  </w:num>
  <w:num w:numId="20">
    <w:abstractNumId w:val="30"/>
  </w:num>
  <w:num w:numId="21">
    <w:abstractNumId w:val="9"/>
  </w:num>
  <w:num w:numId="22">
    <w:abstractNumId w:val="23"/>
  </w:num>
  <w:num w:numId="23">
    <w:abstractNumId w:val="20"/>
  </w:num>
  <w:num w:numId="24">
    <w:abstractNumId w:val="4"/>
  </w:num>
  <w:num w:numId="25">
    <w:abstractNumId w:val="6"/>
  </w:num>
  <w:num w:numId="26">
    <w:abstractNumId w:val="5"/>
  </w:num>
  <w:num w:numId="27">
    <w:abstractNumId w:val="26"/>
  </w:num>
  <w:num w:numId="28">
    <w:abstractNumId w:val="8"/>
  </w:num>
  <w:num w:numId="29">
    <w:abstractNumId w:val="14"/>
  </w:num>
  <w:num w:numId="30">
    <w:abstractNumId w:val="7"/>
  </w:num>
  <w:num w:numId="31">
    <w:abstractNumId w:val="37"/>
  </w:num>
  <w:num w:numId="32">
    <w:abstractNumId w:val="27"/>
  </w:num>
  <w:num w:numId="33">
    <w:abstractNumId w:val="28"/>
  </w:num>
  <w:num w:numId="34">
    <w:abstractNumId w:val="10"/>
  </w:num>
  <w:num w:numId="35">
    <w:abstractNumId w:val="13"/>
  </w:num>
  <w:num w:numId="36">
    <w:abstractNumId w:val="33"/>
  </w:num>
  <w:num w:numId="37">
    <w:abstractNumId w:val="2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362CD"/>
    <w:rsid w:val="0004172B"/>
    <w:rsid w:val="0004295E"/>
    <w:rsid w:val="00054FD5"/>
    <w:rsid w:val="0006112A"/>
    <w:rsid w:val="00061D14"/>
    <w:rsid w:val="00067F20"/>
    <w:rsid w:val="00070107"/>
    <w:rsid w:val="000727BF"/>
    <w:rsid w:val="00074E49"/>
    <w:rsid w:val="00077803"/>
    <w:rsid w:val="0008076D"/>
    <w:rsid w:val="000814D4"/>
    <w:rsid w:val="00084F85"/>
    <w:rsid w:val="000858FA"/>
    <w:rsid w:val="000945B5"/>
    <w:rsid w:val="00097962"/>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74B13"/>
    <w:rsid w:val="001866A6"/>
    <w:rsid w:val="00186B11"/>
    <w:rsid w:val="00194B83"/>
    <w:rsid w:val="00196499"/>
    <w:rsid w:val="00197D40"/>
    <w:rsid w:val="001A3634"/>
    <w:rsid w:val="001B3A8B"/>
    <w:rsid w:val="001B4465"/>
    <w:rsid w:val="001B7253"/>
    <w:rsid w:val="001C226D"/>
    <w:rsid w:val="001C49C4"/>
    <w:rsid w:val="001C56C1"/>
    <w:rsid w:val="001C6BD5"/>
    <w:rsid w:val="001D407A"/>
    <w:rsid w:val="001D45C9"/>
    <w:rsid w:val="001D78DE"/>
    <w:rsid w:val="001E0CC0"/>
    <w:rsid w:val="001E342D"/>
    <w:rsid w:val="001F13CA"/>
    <w:rsid w:val="00200537"/>
    <w:rsid w:val="00201796"/>
    <w:rsid w:val="00201958"/>
    <w:rsid w:val="00202558"/>
    <w:rsid w:val="002033CD"/>
    <w:rsid w:val="00210D07"/>
    <w:rsid w:val="00212504"/>
    <w:rsid w:val="00215E43"/>
    <w:rsid w:val="00221BA4"/>
    <w:rsid w:val="00221DE0"/>
    <w:rsid w:val="00224574"/>
    <w:rsid w:val="00224D8C"/>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4EE"/>
    <w:rsid w:val="00297CF7"/>
    <w:rsid w:val="002A307A"/>
    <w:rsid w:val="002A32C8"/>
    <w:rsid w:val="002A5615"/>
    <w:rsid w:val="002B3D0B"/>
    <w:rsid w:val="002B5BC8"/>
    <w:rsid w:val="002B5DFD"/>
    <w:rsid w:val="002C39E2"/>
    <w:rsid w:val="002D11B7"/>
    <w:rsid w:val="002D156D"/>
    <w:rsid w:val="002D41EA"/>
    <w:rsid w:val="002E7F43"/>
    <w:rsid w:val="002F14D0"/>
    <w:rsid w:val="002F2D0F"/>
    <w:rsid w:val="002F58B3"/>
    <w:rsid w:val="002F6CC5"/>
    <w:rsid w:val="00301B88"/>
    <w:rsid w:val="00304108"/>
    <w:rsid w:val="0030626A"/>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50CB"/>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4E4"/>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324E"/>
    <w:rsid w:val="004C6C21"/>
    <w:rsid w:val="004D0ACB"/>
    <w:rsid w:val="004D5112"/>
    <w:rsid w:val="004D6433"/>
    <w:rsid w:val="004E3F43"/>
    <w:rsid w:val="004E6531"/>
    <w:rsid w:val="004F15FA"/>
    <w:rsid w:val="004F72F1"/>
    <w:rsid w:val="0050305E"/>
    <w:rsid w:val="005067C3"/>
    <w:rsid w:val="00511920"/>
    <w:rsid w:val="005129D7"/>
    <w:rsid w:val="00517E98"/>
    <w:rsid w:val="00520FCA"/>
    <w:rsid w:val="00521986"/>
    <w:rsid w:val="00531BD8"/>
    <w:rsid w:val="00536D76"/>
    <w:rsid w:val="00540B8D"/>
    <w:rsid w:val="0054412E"/>
    <w:rsid w:val="0054799A"/>
    <w:rsid w:val="005663D1"/>
    <w:rsid w:val="00572D2B"/>
    <w:rsid w:val="00577B3B"/>
    <w:rsid w:val="00577EBD"/>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1773"/>
    <w:rsid w:val="00687314"/>
    <w:rsid w:val="00694469"/>
    <w:rsid w:val="006958CA"/>
    <w:rsid w:val="006A0349"/>
    <w:rsid w:val="006A06B0"/>
    <w:rsid w:val="006A1A32"/>
    <w:rsid w:val="006A56E1"/>
    <w:rsid w:val="006A6B19"/>
    <w:rsid w:val="006B0251"/>
    <w:rsid w:val="006B35E7"/>
    <w:rsid w:val="006B7325"/>
    <w:rsid w:val="006C55FF"/>
    <w:rsid w:val="006D3BCE"/>
    <w:rsid w:val="006E420A"/>
    <w:rsid w:val="006F6F36"/>
    <w:rsid w:val="006F70BB"/>
    <w:rsid w:val="00715C52"/>
    <w:rsid w:val="00720747"/>
    <w:rsid w:val="0072736A"/>
    <w:rsid w:val="007278B4"/>
    <w:rsid w:val="00730EE3"/>
    <w:rsid w:val="0073479D"/>
    <w:rsid w:val="00741239"/>
    <w:rsid w:val="00742FD3"/>
    <w:rsid w:val="00751C3A"/>
    <w:rsid w:val="00752EFE"/>
    <w:rsid w:val="007606EF"/>
    <w:rsid w:val="00761DC2"/>
    <w:rsid w:val="0076254F"/>
    <w:rsid w:val="007639B1"/>
    <w:rsid w:val="00765FC8"/>
    <w:rsid w:val="00770C2B"/>
    <w:rsid w:val="00777218"/>
    <w:rsid w:val="00782AEA"/>
    <w:rsid w:val="00783127"/>
    <w:rsid w:val="0078344D"/>
    <w:rsid w:val="00783BBF"/>
    <w:rsid w:val="00786438"/>
    <w:rsid w:val="00786B6A"/>
    <w:rsid w:val="00790503"/>
    <w:rsid w:val="00794932"/>
    <w:rsid w:val="007A794E"/>
    <w:rsid w:val="007B2AEE"/>
    <w:rsid w:val="007B2ED9"/>
    <w:rsid w:val="007B4404"/>
    <w:rsid w:val="007B4CB5"/>
    <w:rsid w:val="007B7082"/>
    <w:rsid w:val="007C50FC"/>
    <w:rsid w:val="007C5CC0"/>
    <w:rsid w:val="007C621F"/>
    <w:rsid w:val="007D5B44"/>
    <w:rsid w:val="007D5EA5"/>
    <w:rsid w:val="007D6D8C"/>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718C"/>
    <w:rsid w:val="00842615"/>
    <w:rsid w:val="008456C2"/>
    <w:rsid w:val="00847322"/>
    <w:rsid w:val="00852F10"/>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0368"/>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5326"/>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42282"/>
    <w:rsid w:val="00952409"/>
    <w:rsid w:val="00952935"/>
    <w:rsid w:val="009535BD"/>
    <w:rsid w:val="0095518B"/>
    <w:rsid w:val="00956E55"/>
    <w:rsid w:val="0096062F"/>
    <w:rsid w:val="00962770"/>
    <w:rsid w:val="00963412"/>
    <w:rsid w:val="009711E5"/>
    <w:rsid w:val="00975FAA"/>
    <w:rsid w:val="0097769E"/>
    <w:rsid w:val="00977CC7"/>
    <w:rsid w:val="0098446B"/>
    <w:rsid w:val="00987B59"/>
    <w:rsid w:val="00990990"/>
    <w:rsid w:val="0099483B"/>
    <w:rsid w:val="0099640E"/>
    <w:rsid w:val="00996970"/>
    <w:rsid w:val="009A0914"/>
    <w:rsid w:val="009A27FA"/>
    <w:rsid w:val="009A3516"/>
    <w:rsid w:val="009A72DC"/>
    <w:rsid w:val="009A7850"/>
    <w:rsid w:val="009B6BBC"/>
    <w:rsid w:val="009B7A95"/>
    <w:rsid w:val="009C4DFF"/>
    <w:rsid w:val="009C73CE"/>
    <w:rsid w:val="009C74BB"/>
    <w:rsid w:val="009D00F2"/>
    <w:rsid w:val="009D39F2"/>
    <w:rsid w:val="009E2337"/>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2A3F"/>
    <w:rsid w:val="00A82DD3"/>
    <w:rsid w:val="00A83BE2"/>
    <w:rsid w:val="00A8418A"/>
    <w:rsid w:val="00A8539D"/>
    <w:rsid w:val="00AB0032"/>
    <w:rsid w:val="00AB316A"/>
    <w:rsid w:val="00AB6EA5"/>
    <w:rsid w:val="00AC39B6"/>
    <w:rsid w:val="00AC48A1"/>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64F08"/>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07AD"/>
    <w:rsid w:val="00BE2620"/>
    <w:rsid w:val="00BE29C0"/>
    <w:rsid w:val="00BE6EBA"/>
    <w:rsid w:val="00BE7B4E"/>
    <w:rsid w:val="00BF3F82"/>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E119D"/>
    <w:rsid w:val="00CE5D47"/>
    <w:rsid w:val="00CE5FCC"/>
    <w:rsid w:val="00CF0A33"/>
    <w:rsid w:val="00CF2E5C"/>
    <w:rsid w:val="00CF6E34"/>
    <w:rsid w:val="00D01647"/>
    <w:rsid w:val="00D04A96"/>
    <w:rsid w:val="00D11A1A"/>
    <w:rsid w:val="00D133DE"/>
    <w:rsid w:val="00D137CC"/>
    <w:rsid w:val="00D1407C"/>
    <w:rsid w:val="00D15041"/>
    <w:rsid w:val="00D2315F"/>
    <w:rsid w:val="00D279DA"/>
    <w:rsid w:val="00D4101C"/>
    <w:rsid w:val="00D44D97"/>
    <w:rsid w:val="00D451A6"/>
    <w:rsid w:val="00D47BA5"/>
    <w:rsid w:val="00D50120"/>
    <w:rsid w:val="00D52BAA"/>
    <w:rsid w:val="00D55C99"/>
    <w:rsid w:val="00D57F53"/>
    <w:rsid w:val="00D60817"/>
    <w:rsid w:val="00D67BE6"/>
    <w:rsid w:val="00D85566"/>
    <w:rsid w:val="00D87B1D"/>
    <w:rsid w:val="00D87E0B"/>
    <w:rsid w:val="00D930F3"/>
    <w:rsid w:val="00D9435F"/>
    <w:rsid w:val="00D94510"/>
    <w:rsid w:val="00DA3C8D"/>
    <w:rsid w:val="00DA4727"/>
    <w:rsid w:val="00DA500C"/>
    <w:rsid w:val="00DA5FCB"/>
    <w:rsid w:val="00DA622E"/>
    <w:rsid w:val="00DA75BE"/>
    <w:rsid w:val="00DB0AF0"/>
    <w:rsid w:val="00DB0E6F"/>
    <w:rsid w:val="00DB1673"/>
    <w:rsid w:val="00DB46B2"/>
    <w:rsid w:val="00DB703A"/>
    <w:rsid w:val="00DB7C84"/>
    <w:rsid w:val="00DC1E8C"/>
    <w:rsid w:val="00DC2165"/>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12810"/>
    <w:rsid w:val="00E13308"/>
    <w:rsid w:val="00E172EC"/>
    <w:rsid w:val="00E20C5A"/>
    <w:rsid w:val="00E2296B"/>
    <w:rsid w:val="00E34F71"/>
    <w:rsid w:val="00E3676A"/>
    <w:rsid w:val="00E4022E"/>
    <w:rsid w:val="00E41A91"/>
    <w:rsid w:val="00E45E9F"/>
    <w:rsid w:val="00E47C73"/>
    <w:rsid w:val="00E55650"/>
    <w:rsid w:val="00E55E07"/>
    <w:rsid w:val="00E55FD9"/>
    <w:rsid w:val="00E6058E"/>
    <w:rsid w:val="00E6253A"/>
    <w:rsid w:val="00E63024"/>
    <w:rsid w:val="00E70FFE"/>
    <w:rsid w:val="00E82F49"/>
    <w:rsid w:val="00EA2488"/>
    <w:rsid w:val="00EB0D8C"/>
    <w:rsid w:val="00EB10BA"/>
    <w:rsid w:val="00EB2795"/>
    <w:rsid w:val="00EB2F23"/>
    <w:rsid w:val="00EB761E"/>
    <w:rsid w:val="00EC018F"/>
    <w:rsid w:val="00EC1651"/>
    <w:rsid w:val="00EC3263"/>
    <w:rsid w:val="00EC49C7"/>
    <w:rsid w:val="00EC68AA"/>
    <w:rsid w:val="00EC6CE5"/>
    <w:rsid w:val="00EC7BD1"/>
    <w:rsid w:val="00EC7FB4"/>
    <w:rsid w:val="00EE040C"/>
    <w:rsid w:val="00EE0EC5"/>
    <w:rsid w:val="00EE7533"/>
    <w:rsid w:val="00EF53C8"/>
    <w:rsid w:val="00EF5A10"/>
    <w:rsid w:val="00EF5E93"/>
    <w:rsid w:val="00EF7443"/>
    <w:rsid w:val="00F071D8"/>
    <w:rsid w:val="00F13F76"/>
    <w:rsid w:val="00F16D4B"/>
    <w:rsid w:val="00F17506"/>
    <w:rsid w:val="00F204CE"/>
    <w:rsid w:val="00F22B30"/>
    <w:rsid w:val="00F2730A"/>
    <w:rsid w:val="00F30DF2"/>
    <w:rsid w:val="00F32185"/>
    <w:rsid w:val="00F341DF"/>
    <w:rsid w:val="00F368D5"/>
    <w:rsid w:val="00F51723"/>
    <w:rsid w:val="00F5686B"/>
    <w:rsid w:val="00F632B0"/>
    <w:rsid w:val="00F633CA"/>
    <w:rsid w:val="00F650FA"/>
    <w:rsid w:val="00F7095B"/>
    <w:rsid w:val="00F726CC"/>
    <w:rsid w:val="00F75BC8"/>
    <w:rsid w:val="00F82E7D"/>
    <w:rsid w:val="00F8569D"/>
    <w:rsid w:val="00F8626E"/>
    <w:rsid w:val="00F90C66"/>
    <w:rsid w:val="00F90ED7"/>
    <w:rsid w:val="00F94B4D"/>
    <w:rsid w:val="00FA0844"/>
    <w:rsid w:val="00FA6DE4"/>
    <w:rsid w:val="00FB1159"/>
    <w:rsid w:val="00FB5480"/>
    <w:rsid w:val="00FB6991"/>
    <w:rsid w:val="00FB7604"/>
    <w:rsid w:val="00FC2E43"/>
    <w:rsid w:val="00FC3B5E"/>
    <w:rsid w:val="00FC620A"/>
    <w:rsid w:val="00FD02E9"/>
    <w:rsid w:val="00FD0F24"/>
    <w:rsid w:val="00FD4951"/>
    <w:rsid w:val="00FE3460"/>
    <w:rsid w:val="00FE36B6"/>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2F17C6"/>
  <w15:chartTrackingRefBased/>
  <w15:docId w15:val="{8AEA517B-C180-4F61-BFDE-86CCCB3A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List Paragraph"/>
    <w:aliases w:val="ADB paragraph numbering,Bullets,Citation List,Figure_name,Graphic,Ha,Heading3,List Paragraph Char Char,List Paragraph1 Char Char,List Paragraph11,RMSI bulle Style,Resume Title,Table of contents numbered,heading 4,lp1,リスト段落"/>
    <w:basedOn w:val="a0"/>
    <w:link w:val="af4"/>
    <w:uiPriority w:val="34"/>
    <w:qFormat/>
    <w:rsid w:val="00DB0AF0"/>
    <w:pPr>
      <w:ind w:leftChars="200" w:left="480"/>
    </w:pPr>
  </w:style>
  <w:style w:type="character" w:customStyle="1" w:styleId="af4">
    <w:name w:val="清單段落 字元"/>
    <w:aliases w:val="ADB paragraph numbering 字元,Bullets 字元,Citation List 字元,Figure_name 字元,Graphic 字元,Ha 字元,Heading3 字元,List Paragraph Char Char 字元,List Paragraph1 Char Char 字元,List Paragraph11 字元,RMSI bulle Style 字元,Resume Title 字元,Table of contents numbered 字元"/>
    <w:link w:val="af3"/>
    <w:uiPriority w:val="34"/>
    <w:qFormat/>
    <w:rsid w:val="00DB0AF0"/>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77B8-1A47-4085-8EC8-55C05E45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212</Words>
  <Characters>1209</Characters>
  <Application>Microsoft Office Word</Application>
  <DocSecurity>0</DocSecurity>
  <Lines>10</Lines>
  <Paragraphs>2</Paragraphs>
  <ScaleCrop>false</ScaleCrop>
  <Company>HKSARG</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28</cp:revision>
  <cp:lastPrinted>2020-08-04T10:12:00Z</cp:lastPrinted>
  <dcterms:created xsi:type="dcterms:W3CDTF">2023-10-10T07:02:00Z</dcterms:created>
  <dcterms:modified xsi:type="dcterms:W3CDTF">2025-02-27T07:54:00Z</dcterms:modified>
</cp:coreProperties>
</file>