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027ACC53" w:rsidR="008E5326" w:rsidRPr="00A327D1" w:rsidRDefault="00C366F6" w:rsidP="00560703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 w:firstLineChars="47" w:firstLine="110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D73A1E">
              <w:rPr>
                <w:bCs w:val="0"/>
                <w:sz w:val="24"/>
                <w:lang w:eastAsia="zh-HK"/>
              </w:rPr>
              <w:t>21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D73A1E">
              <w:rPr>
                <w:bCs w:val="0"/>
                <w:sz w:val="24"/>
                <w:lang w:eastAsia="zh-HK"/>
              </w:rPr>
              <w:t>Estimates for Tender Price Index</w:t>
            </w:r>
            <w:r w:rsidR="0073006A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1529E9" w:rsidRPr="0074496C" w14:paraId="494B4492" w14:textId="77777777" w:rsidTr="00C23F2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880" w14:textId="37CAA573" w:rsidR="001529E9" w:rsidRPr="00A327D1" w:rsidRDefault="00D73A1E" w:rsidP="00560703">
            <w:pPr>
              <w:spacing w:beforeLines="20" w:before="72" w:afterLines="20" w:after="72"/>
              <w:ind w:leftChars="45" w:left="108" w:rightChars="63" w:right="151" w:firstLine="2"/>
              <w:jc w:val="both"/>
              <w:rPr>
                <w:color w:val="000000"/>
                <w:spacing w:val="-3"/>
              </w:rPr>
            </w:pPr>
            <w:r w:rsidRPr="00D73A1E">
              <w:rPr>
                <w:color w:val="000000"/>
                <w:spacing w:val="-3"/>
              </w:rPr>
              <w:t xml:space="preserve">Tenderer’s attention is drawn to </w:t>
            </w:r>
            <w:r w:rsidR="00F9254C">
              <w:rPr>
                <w:color w:val="000000"/>
                <w:spacing w:val="-3"/>
              </w:rPr>
              <w:t xml:space="preserve">Special Conditions of Tender Clause </w:t>
            </w:r>
            <w:r w:rsidRPr="00327526">
              <w:rPr>
                <w:spacing w:val="-3"/>
              </w:rPr>
              <w:t>SCT</w:t>
            </w:r>
            <w:r w:rsidR="00494C52" w:rsidRPr="00327526">
              <w:rPr>
                <w:spacing w:val="-3"/>
              </w:rPr>
              <w:t xml:space="preserve"> </w:t>
            </w:r>
            <w:r w:rsidR="00CB151E" w:rsidRPr="00CB151E">
              <w:rPr>
                <w:color w:val="0000FF"/>
                <w:spacing w:val="-3"/>
              </w:rPr>
              <w:t>[</w:t>
            </w:r>
            <w:proofErr w:type="gramStart"/>
            <w:r w:rsidRPr="00CB151E">
              <w:rPr>
                <w:color w:val="0000FF"/>
                <w:spacing w:val="-3"/>
              </w:rPr>
              <w:t>20</w:t>
            </w:r>
            <w:r w:rsidR="00CB151E" w:rsidRPr="00CB151E">
              <w:rPr>
                <w:color w:val="0000FF"/>
                <w:spacing w:val="-3"/>
              </w:rPr>
              <w:t>]</w:t>
            </w:r>
            <w:r w:rsidR="00CB151E" w:rsidRPr="00CB151E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Pr="00D73A1E">
              <w:rPr>
                <w:color w:val="000000"/>
                <w:spacing w:val="-3"/>
              </w:rPr>
              <w:t xml:space="preserve"> which requires the tenderer to submit Estimates for Tender Price Index (“ETPI”) with its tender. The ETPI is submitted to the </w:t>
            </w:r>
            <w:r w:rsidRPr="0073006A">
              <w:rPr>
                <w:i/>
                <w:color w:val="000000"/>
                <w:spacing w:val="-3"/>
              </w:rPr>
              <w:t>Client</w:t>
            </w:r>
            <w:r w:rsidRPr="00D73A1E">
              <w:rPr>
                <w:color w:val="000000"/>
                <w:spacing w:val="-3"/>
              </w:rPr>
              <w:t xml:space="preserve"> for the purposes as stated in </w:t>
            </w:r>
            <w:r w:rsidR="00F9254C">
              <w:rPr>
                <w:color w:val="000000"/>
                <w:spacing w:val="-3"/>
              </w:rPr>
              <w:t xml:space="preserve">Special Conditions of Tender Clause </w:t>
            </w:r>
            <w:r w:rsidRPr="00327526">
              <w:rPr>
                <w:spacing w:val="-3"/>
              </w:rPr>
              <w:t>SCT</w:t>
            </w:r>
            <w:r w:rsidR="00494C52" w:rsidRPr="00327526">
              <w:rPr>
                <w:spacing w:val="-3"/>
              </w:rPr>
              <w:t xml:space="preserve"> </w:t>
            </w:r>
            <w:r w:rsidR="00CB151E" w:rsidRPr="00CB151E">
              <w:rPr>
                <w:color w:val="0000FF"/>
                <w:spacing w:val="-3"/>
              </w:rPr>
              <w:t>[</w:t>
            </w:r>
            <w:r w:rsidRPr="00CB151E">
              <w:rPr>
                <w:color w:val="0000FF"/>
                <w:spacing w:val="-3"/>
              </w:rPr>
              <w:t>20(4</w:t>
            </w:r>
            <w:proofErr w:type="gramStart"/>
            <w:r w:rsidRPr="00CB151E">
              <w:rPr>
                <w:color w:val="0000FF"/>
                <w:spacing w:val="-3"/>
              </w:rPr>
              <w:t>)</w:t>
            </w:r>
            <w:r w:rsidR="00CB151E" w:rsidRPr="00CB151E">
              <w:rPr>
                <w:color w:val="0000FF"/>
                <w:spacing w:val="-3"/>
              </w:rPr>
              <w:t>]</w:t>
            </w:r>
            <w:r w:rsidR="00CB151E" w:rsidRPr="00CB151E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Pr="00D73A1E">
              <w:rPr>
                <w:color w:val="000000"/>
                <w:spacing w:val="-3"/>
              </w:rPr>
              <w:t xml:space="preserve"> only and will not be used for tender assessment. Failure to submit the ETPI by the tenderer will NOT render its tender inva</w:t>
            </w:r>
            <w:r w:rsidRPr="000D4E3E">
              <w:rPr>
                <w:color w:val="000000"/>
                <w:spacing w:val="-3"/>
              </w:rPr>
              <w:t xml:space="preserve">lid. Tenderer’s attention is also drawn to </w:t>
            </w:r>
            <w:r w:rsidR="003C1ACF">
              <w:rPr>
                <w:color w:val="000000"/>
                <w:spacing w:val="-3"/>
              </w:rPr>
              <w:t>ACC </w:t>
            </w:r>
            <w:r w:rsidRPr="000D4E3E">
              <w:rPr>
                <w:color w:val="000000"/>
                <w:spacing w:val="-3"/>
              </w:rPr>
              <w:t>Clause</w:t>
            </w:r>
            <w:r w:rsidR="00F9254C">
              <w:rPr>
                <w:color w:val="000000"/>
                <w:spacing w:val="-3"/>
              </w:rPr>
              <w:t> </w:t>
            </w:r>
            <w:r w:rsidR="00CD6E54" w:rsidRPr="000D4E3E">
              <w:rPr>
                <w:color w:val="0000FF"/>
                <w:spacing w:val="-3"/>
              </w:rPr>
              <w:t>[II:</w:t>
            </w:r>
            <w:proofErr w:type="gramStart"/>
            <w:r w:rsidR="00CD6E54" w:rsidRPr="000D4E3E">
              <w:rPr>
                <w:color w:val="0000FF"/>
                <w:spacing w:val="-3"/>
              </w:rPr>
              <w:t>5]</w:t>
            </w:r>
            <w:r w:rsidR="00CD6E54" w:rsidRPr="000D4E3E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Pr="000D4E3E">
              <w:rPr>
                <w:color w:val="000000"/>
                <w:spacing w:val="-3"/>
              </w:rPr>
              <w:t xml:space="preserve"> which requires the </w:t>
            </w:r>
            <w:r w:rsidRPr="000D4E3E">
              <w:rPr>
                <w:i/>
                <w:color w:val="000000"/>
                <w:spacing w:val="-3"/>
              </w:rPr>
              <w:t>Contractor</w:t>
            </w:r>
            <w:r w:rsidRPr="000D4E3E">
              <w:rPr>
                <w:color w:val="000000"/>
                <w:spacing w:val="-3"/>
              </w:rPr>
              <w:t xml:space="preserve"> to submit the ETPI within </w:t>
            </w:r>
            <w:r w:rsidR="00264152" w:rsidRPr="000D4E3E">
              <w:rPr>
                <w:color w:val="000000"/>
                <w:spacing w:val="-3"/>
              </w:rPr>
              <w:t>two weeks</w:t>
            </w:r>
            <w:r w:rsidRPr="000D4E3E">
              <w:rPr>
                <w:color w:val="000000"/>
                <w:spacing w:val="-3"/>
              </w:rPr>
              <w:t xml:space="preserve"> of the </w:t>
            </w:r>
            <w:r w:rsidRPr="000D4E3E">
              <w:rPr>
                <w:i/>
                <w:color w:val="000000"/>
                <w:spacing w:val="-3"/>
              </w:rPr>
              <w:t>Project Manager</w:t>
            </w:r>
            <w:r w:rsidRPr="000D4E3E">
              <w:rPr>
                <w:color w:val="000000"/>
                <w:spacing w:val="-3"/>
              </w:rPr>
              <w:t xml:space="preserve">’s </w:t>
            </w:r>
            <w:r w:rsidR="00874ECC" w:rsidRPr="000D4E3E">
              <w:rPr>
                <w:color w:val="000000"/>
                <w:spacing w:val="-3"/>
              </w:rPr>
              <w:t>instruction</w:t>
            </w:r>
            <w:r w:rsidRPr="000D4E3E">
              <w:rPr>
                <w:color w:val="000000"/>
                <w:spacing w:val="-3"/>
              </w:rPr>
              <w:t>.</w:t>
            </w:r>
          </w:p>
          <w:p w14:paraId="0F409724" w14:textId="7573481C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49484" w14:textId="15459BE6" w:rsidR="001529E9" w:rsidRDefault="00D1553C" w:rsidP="00D73A1E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This cl</w:t>
            </w:r>
            <w:bookmarkStart w:id="0" w:name="_GoBack"/>
            <w:bookmarkEnd w:id="0"/>
            <w:r w:rsidR="00494C52">
              <w:rPr>
                <w:b w:val="0"/>
                <w:sz w:val="24"/>
              </w:rPr>
              <w:t>ause is only applicable for</w:t>
            </w:r>
            <w:r w:rsidR="001529E9" w:rsidRPr="00A327D1">
              <w:rPr>
                <w:b w:val="0"/>
                <w:sz w:val="24"/>
              </w:rPr>
              <w:t xml:space="preserve"> </w:t>
            </w:r>
            <w:r w:rsidR="00D73A1E">
              <w:rPr>
                <w:b w:val="0"/>
                <w:sz w:val="24"/>
              </w:rPr>
              <w:t xml:space="preserve">works tenders of Group C contracts </w:t>
            </w:r>
            <w:r w:rsidR="00494C52">
              <w:rPr>
                <w:b w:val="0"/>
                <w:sz w:val="24"/>
              </w:rPr>
              <w:t xml:space="preserve">issued under </w:t>
            </w:r>
            <w:r w:rsidR="00494C52" w:rsidRPr="00494C52">
              <w:rPr>
                <w:sz w:val="24"/>
              </w:rPr>
              <w:t xml:space="preserve">CEDD, </w:t>
            </w:r>
            <w:proofErr w:type="spellStart"/>
            <w:r w:rsidR="00494C52" w:rsidRPr="00494C52">
              <w:rPr>
                <w:sz w:val="24"/>
              </w:rPr>
              <w:t>HyD</w:t>
            </w:r>
            <w:proofErr w:type="spellEnd"/>
            <w:r w:rsidR="00494C52" w:rsidRPr="00494C52">
              <w:rPr>
                <w:sz w:val="24"/>
              </w:rPr>
              <w:t>, WSD and DSD</w:t>
            </w:r>
            <w:r w:rsidR="00494C52">
              <w:rPr>
                <w:b w:val="0"/>
                <w:sz w:val="24"/>
              </w:rPr>
              <w:t xml:space="preserve"> and adopting </w:t>
            </w:r>
            <w:r w:rsidR="00D73A1E">
              <w:rPr>
                <w:b w:val="0"/>
                <w:sz w:val="24"/>
              </w:rPr>
              <w:t>ECC Option</w:t>
            </w:r>
            <w:r w:rsidR="00327526">
              <w:rPr>
                <w:b w:val="0"/>
                <w:sz w:val="24"/>
              </w:rPr>
              <w:t>s</w:t>
            </w:r>
            <w:r w:rsidR="00D73A1E">
              <w:rPr>
                <w:b w:val="0"/>
                <w:sz w:val="24"/>
              </w:rPr>
              <w:t xml:space="preserve"> A or C</w:t>
            </w:r>
            <w:r w:rsidR="00494C52">
              <w:rPr>
                <w:b w:val="0"/>
                <w:sz w:val="24"/>
              </w:rPr>
              <w:t xml:space="preserve">, where the tender price information </w:t>
            </w:r>
            <w:proofErr w:type="gramStart"/>
            <w:r w:rsidR="00494C52">
              <w:rPr>
                <w:b w:val="0"/>
                <w:sz w:val="24"/>
              </w:rPr>
              <w:t>are</w:t>
            </w:r>
            <w:proofErr w:type="gramEnd"/>
            <w:r w:rsidR="00494C52">
              <w:rPr>
                <w:b w:val="0"/>
                <w:sz w:val="24"/>
              </w:rPr>
              <w:t xml:space="preserve"> required for compilation of the Civil Engineering Works Tender Price Index (CEWTPI)</w:t>
            </w:r>
            <w:r w:rsidR="00D73A1E">
              <w:rPr>
                <w:b w:val="0"/>
                <w:sz w:val="24"/>
              </w:rPr>
              <w:t>.</w:t>
            </w:r>
          </w:p>
          <w:p w14:paraId="009FAADF" w14:textId="77777777" w:rsidR="00494C52" w:rsidRPr="00A327D1" w:rsidRDefault="00494C52" w:rsidP="00D73A1E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38233AB" w14:textId="0D26896B" w:rsidR="00302C6A" w:rsidRDefault="00494C52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00" w:themeColor="text1"/>
              </w:rPr>
            </w:pPr>
            <w:r w:rsidRPr="00494C52">
              <w:rPr>
                <w:rFonts w:hint="eastAsia"/>
                <w:color w:val="000000" w:themeColor="text1"/>
              </w:rPr>
              <w:t>Please refer to DEVB TC</w:t>
            </w:r>
            <w:r w:rsidRPr="00494C52">
              <w:rPr>
                <w:color w:val="000000" w:themeColor="text1"/>
              </w:rPr>
              <w:t>(</w:t>
            </w:r>
            <w:r w:rsidRPr="00494C52">
              <w:rPr>
                <w:rFonts w:hint="eastAsia"/>
                <w:color w:val="000000" w:themeColor="text1"/>
              </w:rPr>
              <w:t>W</w:t>
            </w:r>
            <w:r w:rsidRPr="00494C52">
              <w:rPr>
                <w:color w:val="000000" w:themeColor="text1"/>
              </w:rPr>
              <w:t>)</w:t>
            </w:r>
            <w:r w:rsidRPr="00494C52">
              <w:rPr>
                <w:rFonts w:hint="eastAsia"/>
                <w:color w:val="000000" w:themeColor="text1"/>
              </w:rPr>
              <w:t xml:space="preserve"> No. </w:t>
            </w:r>
            <w:r w:rsidRPr="00494C52">
              <w:rPr>
                <w:color w:val="000000" w:themeColor="text1"/>
              </w:rPr>
              <w:t>6/2017</w:t>
            </w:r>
            <w:r>
              <w:rPr>
                <w:color w:val="000000" w:themeColor="text1"/>
              </w:rPr>
              <w:t>.</w:t>
            </w:r>
          </w:p>
          <w:p w14:paraId="1A727596" w14:textId="00DCA5B1" w:rsidR="00494C52" w:rsidRDefault="00494C52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00" w:themeColor="text1"/>
              </w:rPr>
            </w:pPr>
          </w:p>
          <w:p w14:paraId="2BCD2FF3" w14:textId="05F4A1AE" w:rsidR="00494C52" w:rsidRPr="0073006A" w:rsidRDefault="00CB151E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FF"/>
              </w:rPr>
            </w:pPr>
            <w:r w:rsidRPr="00DD2987">
              <w:rPr>
                <w:rFonts w:hint="eastAsia"/>
                <w:color w:val="0000FF"/>
              </w:rPr>
              <w:t xml:space="preserve"># Insert </w:t>
            </w:r>
            <w:r w:rsidR="005170B4">
              <w:rPr>
                <w:color w:val="0000FF"/>
              </w:rPr>
              <w:t xml:space="preserve">as </w:t>
            </w:r>
            <w:r w:rsidRPr="00DD2987">
              <w:rPr>
                <w:rFonts w:hint="eastAsia"/>
                <w:color w:val="0000FF"/>
              </w:rPr>
              <w:t xml:space="preserve">appropriate </w:t>
            </w:r>
          </w:p>
          <w:p w14:paraId="132338EB" w14:textId="22C71F37" w:rsidR="001529E9" w:rsidRPr="00D73A1E" w:rsidRDefault="001529E9" w:rsidP="006C1755">
            <w:pPr>
              <w:tabs>
                <w:tab w:val="left" w:pos="372"/>
              </w:tabs>
              <w:ind w:leftChars="50" w:left="331" w:rightChars="50" w:right="120" w:hangingChars="96" w:hanging="211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13CB" w14:textId="77777777" w:rsidR="00FF746E" w:rsidRDefault="00FF746E" w:rsidP="00A24422">
      <w:pPr>
        <w:pStyle w:val="ae"/>
      </w:pPr>
      <w:r>
        <w:separator/>
      </w:r>
    </w:p>
  </w:endnote>
  <w:endnote w:type="continuationSeparator" w:id="0">
    <w:p w14:paraId="0BD8B1EC" w14:textId="77777777" w:rsidR="00FF746E" w:rsidRDefault="00FF746E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169F" w14:textId="77777777" w:rsidR="00462E23" w:rsidRPr="009E0DC4" w:rsidRDefault="00462E23">
    <w:pPr>
      <w:pStyle w:val="a6"/>
      <w:pBdr>
        <w:bottom w:val="single" w:sz="12" w:space="1" w:color="auto"/>
      </w:pBdr>
    </w:pPr>
  </w:p>
  <w:p w14:paraId="1E5D8D08" w14:textId="77777777" w:rsidR="00462E23" w:rsidRPr="009E0DC4" w:rsidRDefault="00462E23">
    <w:pPr>
      <w:pStyle w:val="a6"/>
    </w:pPr>
  </w:p>
  <w:p w14:paraId="05F83963" w14:textId="3476F6DC" w:rsidR="00462E23" w:rsidRPr="009E0DC4" w:rsidRDefault="00626235" w:rsidP="009E0DC4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6C1986">
      <w:rPr>
        <w:b/>
        <w:bCs/>
        <w:iCs/>
        <w:lang w:eastAsia="zh-HK"/>
      </w:rPr>
      <w:t xml:space="preserve">Library of Standard </w:t>
    </w:r>
    <w:r w:rsidR="008E5326" w:rsidRPr="006C1986">
      <w:rPr>
        <w:b/>
        <w:bCs/>
        <w:iCs/>
        <w:lang w:eastAsia="zh-HK"/>
      </w:rPr>
      <w:t>NT</w:t>
    </w:r>
    <w:r w:rsidRPr="006C1986">
      <w:rPr>
        <w:b/>
        <w:bCs/>
        <w:iCs/>
        <w:lang w:eastAsia="zh-HK"/>
      </w:rPr>
      <w:t>T for NEC ECC</w:t>
    </w:r>
    <w:r w:rsidRPr="006C1986">
      <w:rPr>
        <w:b/>
        <w:bCs/>
        <w:iCs/>
      </w:rPr>
      <w:t xml:space="preserve"> </w:t>
    </w:r>
    <w:r w:rsidR="00EE1971" w:rsidRPr="006C1986">
      <w:rPr>
        <w:b/>
        <w:bCs/>
        <w:iCs/>
      </w:rPr>
      <w:t xml:space="preserve">HK Edition </w:t>
    </w:r>
    <w:r w:rsidRPr="006C1986">
      <w:rPr>
        <w:b/>
        <w:bCs/>
        <w:iCs/>
      </w:rPr>
      <w:t>(</w:t>
    </w:r>
    <w:r w:rsidR="006C1986">
      <w:rPr>
        <w:b/>
        <w:bCs/>
        <w:iCs/>
        <w:lang w:eastAsia="zh-HK"/>
      </w:rPr>
      <w:t>15</w:t>
    </w:r>
    <w:r w:rsidR="00EE1971" w:rsidRPr="006C1986">
      <w:rPr>
        <w:b/>
        <w:bCs/>
        <w:iCs/>
        <w:lang w:eastAsia="zh-HK"/>
      </w:rPr>
      <w:t>.</w:t>
    </w:r>
    <w:r w:rsidR="00A327D1" w:rsidRPr="006C1986">
      <w:rPr>
        <w:b/>
        <w:bCs/>
        <w:iCs/>
        <w:lang w:eastAsia="zh-HK"/>
      </w:rPr>
      <w:t>1</w:t>
    </w:r>
    <w:r w:rsidR="00494C52" w:rsidRPr="006C1986">
      <w:rPr>
        <w:b/>
        <w:bCs/>
        <w:iCs/>
        <w:lang w:eastAsia="zh-HK"/>
      </w:rPr>
      <w:t>1</w:t>
    </w:r>
    <w:r w:rsidR="00A327D1" w:rsidRPr="006C1986">
      <w:rPr>
        <w:b/>
        <w:bCs/>
        <w:iCs/>
        <w:lang w:eastAsia="zh-HK"/>
      </w:rPr>
      <w:t>.202</w:t>
    </w:r>
    <w:r w:rsidR="00EE1971" w:rsidRPr="006C1986">
      <w:rPr>
        <w:b/>
        <w:bCs/>
        <w:iCs/>
        <w:lang w:eastAsia="zh-HK"/>
      </w:rPr>
      <w:t>3</w:t>
    </w:r>
    <w:r w:rsidRPr="006C1986">
      <w:rPr>
        <w:b/>
        <w:bCs/>
        <w:iCs/>
      </w:rPr>
      <w:t>)</w:t>
    </w:r>
    <w:r w:rsidR="00462E23" w:rsidRPr="006C1986">
      <w:rPr>
        <w:b/>
        <w:bCs/>
        <w:iCs/>
      </w:rPr>
      <w:tab/>
      <w:t>Page</w:t>
    </w:r>
    <w:r w:rsidR="00A327D1" w:rsidRPr="006C1986">
      <w:rPr>
        <w:b/>
        <w:bCs/>
        <w:iCs/>
      </w:rPr>
      <w:t xml:space="preserve"> NTT A</w:t>
    </w:r>
    <w:r w:rsidR="00494C52" w:rsidRPr="006C1986">
      <w:rPr>
        <w:b/>
        <w:bCs/>
        <w:iCs/>
      </w:rPr>
      <w:t>21</w:t>
    </w:r>
    <w:r w:rsidR="00A327D1" w:rsidRPr="006C1986">
      <w:rPr>
        <w:b/>
        <w:bCs/>
        <w:iCs/>
      </w:rPr>
      <w:t xml:space="preserve"> -</w:t>
    </w:r>
    <w:r w:rsidR="00462E23" w:rsidRPr="006C1986">
      <w:rPr>
        <w:b/>
        <w:bCs/>
        <w:iCs/>
      </w:rPr>
      <w:t xml:space="preserve"> </w:t>
    </w:r>
    <w:r w:rsidR="00462E23" w:rsidRPr="006C1986">
      <w:rPr>
        <w:b/>
        <w:bCs/>
        <w:iCs/>
      </w:rPr>
      <w:fldChar w:fldCharType="begin"/>
    </w:r>
    <w:r w:rsidR="00462E23" w:rsidRPr="006C1986">
      <w:rPr>
        <w:b/>
        <w:bCs/>
        <w:iCs/>
      </w:rPr>
      <w:instrText xml:space="preserve"> PAGE </w:instrText>
    </w:r>
    <w:r w:rsidR="00462E23" w:rsidRPr="006C1986">
      <w:rPr>
        <w:b/>
        <w:bCs/>
        <w:iCs/>
      </w:rPr>
      <w:fldChar w:fldCharType="separate"/>
    </w:r>
    <w:r w:rsidR="00D1553C">
      <w:rPr>
        <w:b/>
        <w:bCs/>
        <w:iCs/>
        <w:noProof/>
      </w:rPr>
      <w:t>1</w:t>
    </w:r>
    <w:r w:rsidR="00462E23" w:rsidRPr="006C1986">
      <w:rPr>
        <w:b/>
        <w:bCs/>
        <w:iCs/>
      </w:rPr>
      <w:fldChar w:fldCharType="end"/>
    </w:r>
    <w:r w:rsidR="00462E23" w:rsidRPr="006C1986">
      <w:rPr>
        <w:b/>
        <w:bCs/>
        <w:iCs/>
      </w:rPr>
      <w:t xml:space="preserve"> of </w:t>
    </w:r>
    <w:r w:rsidR="003E336A" w:rsidRPr="006C1986">
      <w:rPr>
        <w:b/>
        <w:bCs/>
        <w:iCs/>
      </w:rPr>
      <w:fldChar w:fldCharType="begin"/>
    </w:r>
    <w:r w:rsidR="003E336A" w:rsidRPr="006C1986">
      <w:rPr>
        <w:b/>
        <w:bCs/>
        <w:iCs/>
      </w:rPr>
      <w:instrText xml:space="preserve"> NUMPAGES  </w:instrText>
    </w:r>
    <w:r w:rsidR="003E336A" w:rsidRPr="006C1986">
      <w:rPr>
        <w:b/>
        <w:bCs/>
        <w:iCs/>
      </w:rPr>
      <w:fldChar w:fldCharType="separate"/>
    </w:r>
    <w:r w:rsidR="00D1553C">
      <w:rPr>
        <w:b/>
        <w:bCs/>
        <w:iCs/>
        <w:noProof/>
      </w:rPr>
      <w:t>1</w:t>
    </w:r>
    <w:r w:rsidR="003E336A" w:rsidRPr="006C1986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50376" w14:textId="77777777" w:rsidR="00FF746E" w:rsidRDefault="00FF746E" w:rsidP="00A24422">
      <w:pPr>
        <w:pStyle w:val="ae"/>
      </w:pPr>
      <w:r>
        <w:separator/>
      </w:r>
    </w:p>
  </w:footnote>
  <w:footnote w:type="continuationSeparator" w:id="0">
    <w:p w14:paraId="1CFF002E" w14:textId="77777777" w:rsidR="00FF746E" w:rsidRDefault="00FF746E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C1BC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195468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C6058"/>
    <w:rsid w:val="000C7676"/>
    <w:rsid w:val="000D28CE"/>
    <w:rsid w:val="000D2B42"/>
    <w:rsid w:val="000D3FED"/>
    <w:rsid w:val="000D4E3E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5AF8"/>
    <w:rsid w:val="00170312"/>
    <w:rsid w:val="00170897"/>
    <w:rsid w:val="00174B13"/>
    <w:rsid w:val="001866A6"/>
    <w:rsid w:val="00194B83"/>
    <w:rsid w:val="00196499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415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27526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81BDB"/>
    <w:rsid w:val="00383C4E"/>
    <w:rsid w:val="003841EF"/>
    <w:rsid w:val="0038638E"/>
    <w:rsid w:val="0038766C"/>
    <w:rsid w:val="00390C73"/>
    <w:rsid w:val="003925E7"/>
    <w:rsid w:val="00397FE4"/>
    <w:rsid w:val="003A30C2"/>
    <w:rsid w:val="003A3686"/>
    <w:rsid w:val="003A4CC9"/>
    <w:rsid w:val="003A6BF1"/>
    <w:rsid w:val="003B13D3"/>
    <w:rsid w:val="003B1932"/>
    <w:rsid w:val="003B1AAD"/>
    <w:rsid w:val="003B51E7"/>
    <w:rsid w:val="003B7AF4"/>
    <w:rsid w:val="003C0D43"/>
    <w:rsid w:val="003C1ACF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4C52"/>
    <w:rsid w:val="00495080"/>
    <w:rsid w:val="004A03AF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11920"/>
    <w:rsid w:val="005129D7"/>
    <w:rsid w:val="005170B4"/>
    <w:rsid w:val="00517E98"/>
    <w:rsid w:val="00531BD8"/>
    <w:rsid w:val="00536D76"/>
    <w:rsid w:val="00540B8D"/>
    <w:rsid w:val="0054412E"/>
    <w:rsid w:val="00546C01"/>
    <w:rsid w:val="0054799A"/>
    <w:rsid w:val="00560703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1986"/>
    <w:rsid w:val="006C55FF"/>
    <w:rsid w:val="006D3BC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06A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4ECC"/>
    <w:rsid w:val="008779F4"/>
    <w:rsid w:val="00881266"/>
    <w:rsid w:val="0088211B"/>
    <w:rsid w:val="00882AC8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3023"/>
    <w:rsid w:val="0090544E"/>
    <w:rsid w:val="009059F2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5E04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0DC4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84959"/>
    <w:rsid w:val="00C85B09"/>
    <w:rsid w:val="00C90D0B"/>
    <w:rsid w:val="00C9501C"/>
    <w:rsid w:val="00C95715"/>
    <w:rsid w:val="00C95756"/>
    <w:rsid w:val="00C967F5"/>
    <w:rsid w:val="00C973F6"/>
    <w:rsid w:val="00CA641B"/>
    <w:rsid w:val="00CA6B7E"/>
    <w:rsid w:val="00CB151E"/>
    <w:rsid w:val="00CB6E3C"/>
    <w:rsid w:val="00CC356D"/>
    <w:rsid w:val="00CC4DA3"/>
    <w:rsid w:val="00CC5289"/>
    <w:rsid w:val="00CC765A"/>
    <w:rsid w:val="00CD6E54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1553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73A1E"/>
    <w:rsid w:val="00D85566"/>
    <w:rsid w:val="00D87B1D"/>
    <w:rsid w:val="00D87E0B"/>
    <w:rsid w:val="00D930F3"/>
    <w:rsid w:val="00D94510"/>
    <w:rsid w:val="00DA4727"/>
    <w:rsid w:val="00DA5FCB"/>
    <w:rsid w:val="00DA622E"/>
    <w:rsid w:val="00DA66E3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2795"/>
    <w:rsid w:val="00EB2F23"/>
    <w:rsid w:val="00EB761E"/>
    <w:rsid w:val="00EC018F"/>
    <w:rsid w:val="00EC16CD"/>
    <w:rsid w:val="00EC3263"/>
    <w:rsid w:val="00EC49C7"/>
    <w:rsid w:val="00EC6CE5"/>
    <w:rsid w:val="00EC7BD1"/>
    <w:rsid w:val="00EC7FB4"/>
    <w:rsid w:val="00ED645F"/>
    <w:rsid w:val="00ED7EC6"/>
    <w:rsid w:val="00EE040C"/>
    <w:rsid w:val="00EE0EC5"/>
    <w:rsid w:val="00EE1971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254C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6C175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0272-7E69-417C-BE69-DCC8A077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827</Characters>
  <Application>Microsoft Office Word</Application>
  <DocSecurity>0</DocSecurity>
  <Lines>6</Lines>
  <Paragraphs>1</Paragraphs>
  <ScaleCrop>false</ScaleCrop>
  <Company>HKSARG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9</cp:revision>
  <cp:lastPrinted>2020-08-04T10:12:00Z</cp:lastPrinted>
  <dcterms:created xsi:type="dcterms:W3CDTF">2023-10-11T08:44:00Z</dcterms:created>
  <dcterms:modified xsi:type="dcterms:W3CDTF">2023-11-15T12:27:00Z</dcterms:modified>
</cp:coreProperties>
</file>