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4651"/>
        <w:gridCol w:w="4322"/>
      </w:tblGrid>
      <w:tr w:rsidR="00427391" w14:paraId="0347F917" w14:textId="77777777" w:rsidTr="000C7676">
        <w:trPr>
          <w:tblHeader/>
        </w:trPr>
        <w:tc>
          <w:tcPr>
            <w:tcW w:w="5246" w:type="dxa"/>
            <w:gridSpan w:val="2"/>
            <w:tcBorders>
              <w:bottom w:val="single" w:sz="4" w:space="0" w:color="auto"/>
            </w:tcBorders>
          </w:tcPr>
          <w:p w14:paraId="16DA7C56" w14:textId="77777777" w:rsidR="00427391" w:rsidRDefault="00427391" w:rsidP="00453EC7">
            <w:pPr>
              <w:pStyle w:val="a9"/>
              <w:spacing w:beforeLines="30" w:before="108" w:afterLines="30" w:after="108"/>
              <w:rPr>
                <w:sz w:val="24"/>
              </w:rPr>
            </w:pPr>
            <w:r>
              <w:rPr>
                <w:sz w:val="24"/>
              </w:rPr>
              <w:t>Clause</w:t>
            </w:r>
          </w:p>
        </w:tc>
        <w:tc>
          <w:tcPr>
            <w:tcW w:w="4322" w:type="dxa"/>
            <w:tcBorders>
              <w:bottom w:val="single" w:sz="4" w:space="0" w:color="auto"/>
            </w:tcBorders>
          </w:tcPr>
          <w:p w14:paraId="56E0A5DD" w14:textId="77777777" w:rsidR="00427391" w:rsidRDefault="00427391" w:rsidP="00453EC7">
            <w:pPr>
              <w:pStyle w:val="a9"/>
              <w:spacing w:beforeLines="30" w:before="108" w:afterLines="30" w:after="108"/>
              <w:rPr>
                <w:sz w:val="24"/>
              </w:rPr>
            </w:pPr>
            <w:r>
              <w:rPr>
                <w:sz w:val="24"/>
              </w:rPr>
              <w:t>Remarks/Guidelines</w:t>
            </w:r>
          </w:p>
        </w:tc>
      </w:tr>
      <w:tr w:rsidR="00427391" w14:paraId="4FDD51B6"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7B2B86BF" w14:textId="28F897F6" w:rsidR="00427391" w:rsidRDefault="00FA361A" w:rsidP="00C839D8">
            <w:pPr>
              <w:snapToGrid w:val="0"/>
              <w:spacing w:beforeLines="20" w:before="72" w:afterLines="20" w:after="72"/>
              <w:ind w:rightChars="63" w:right="151"/>
              <w:jc w:val="both"/>
            </w:pPr>
            <w:r>
              <w:rPr>
                <w:b/>
                <w:bCs/>
              </w:rPr>
              <w:t xml:space="preserve">SCT 16  </w:t>
            </w:r>
            <w:r w:rsidRPr="0089764A">
              <w:rPr>
                <w:b/>
                <w:bCs/>
              </w:rPr>
              <w:t>Award to Trading Fund</w:t>
            </w:r>
          </w:p>
        </w:tc>
      </w:tr>
      <w:tr w:rsidR="00FA361A" w14:paraId="6D580B2C" w14:textId="77777777" w:rsidTr="00C50DB0">
        <w:tc>
          <w:tcPr>
            <w:tcW w:w="595" w:type="dxa"/>
            <w:tcBorders>
              <w:top w:val="nil"/>
              <w:bottom w:val="nil"/>
              <w:right w:val="nil"/>
            </w:tcBorders>
          </w:tcPr>
          <w:p w14:paraId="78949B7D" w14:textId="77777777" w:rsidR="00FA361A" w:rsidRDefault="00FA361A" w:rsidP="00FA361A">
            <w:pPr>
              <w:pStyle w:val="a9"/>
              <w:spacing w:beforeLines="20" w:before="72" w:afterLines="20" w:after="72"/>
              <w:ind w:rightChars="63" w:right="151"/>
              <w:jc w:val="both"/>
              <w:rPr>
                <w:b w:val="0"/>
                <w:bCs w:val="0"/>
                <w:sz w:val="24"/>
                <w:lang w:eastAsia="zh-HK"/>
              </w:rPr>
            </w:pPr>
            <w:r>
              <w:rPr>
                <w:rFonts w:hint="eastAsia"/>
                <w:b w:val="0"/>
                <w:bCs w:val="0"/>
                <w:sz w:val="24"/>
                <w:lang w:eastAsia="zh-HK"/>
              </w:rPr>
              <w:t>(1)</w:t>
            </w:r>
          </w:p>
        </w:tc>
        <w:tc>
          <w:tcPr>
            <w:tcW w:w="4651" w:type="dxa"/>
            <w:tcBorders>
              <w:top w:val="nil"/>
              <w:left w:val="nil"/>
              <w:bottom w:val="nil"/>
            </w:tcBorders>
          </w:tcPr>
          <w:p w14:paraId="5BC2DD4B" w14:textId="77777777" w:rsidR="00FA361A" w:rsidRDefault="00FA361A" w:rsidP="00FA361A">
            <w:pPr>
              <w:pStyle w:val="a9"/>
              <w:spacing w:beforeLines="20" w:before="72" w:afterLines="20" w:after="72"/>
              <w:ind w:rightChars="63" w:right="151"/>
              <w:jc w:val="both"/>
              <w:rPr>
                <w:b w:val="0"/>
                <w:sz w:val="24"/>
              </w:rPr>
            </w:pPr>
            <w:r w:rsidRPr="00221D42">
              <w:rPr>
                <w:b w:val="0"/>
                <w:sz w:val="24"/>
              </w:rPr>
              <w:t>Tenderers should note that tenders are in</w:t>
            </w:r>
            <w:r>
              <w:rPr>
                <w:b w:val="0"/>
                <w:sz w:val="24"/>
              </w:rPr>
              <w:t xml:space="preserve">vited from </w:t>
            </w:r>
            <w:r w:rsidRPr="009D5198">
              <w:rPr>
                <w:b w:val="0"/>
                <w:color w:val="0000FF"/>
                <w:sz w:val="24"/>
              </w:rPr>
              <w:t>contractors/supplier</w:t>
            </w:r>
            <w:r w:rsidRPr="009D5198">
              <w:rPr>
                <w:rFonts w:hint="eastAsia"/>
                <w:b w:val="0"/>
                <w:color w:val="0000FF"/>
                <w:sz w:val="24"/>
              </w:rPr>
              <w:t>s*</w:t>
            </w:r>
            <w:r w:rsidRPr="00221D42">
              <w:rPr>
                <w:b w:val="0"/>
                <w:sz w:val="24"/>
              </w:rPr>
              <w:t xml:space="preserve"> providers in both the private and public sectors including department(s) of the Government of the Hong Kong Special Administrative Region whose operation of the services is managed and accounted for by trading funds established pursuant to the Trading Funds Ordinance, Cap. 430 (hereafter referred to as “</w:t>
            </w:r>
            <w:r w:rsidRPr="005548B1">
              <w:rPr>
                <w:sz w:val="24"/>
              </w:rPr>
              <w:t>the relevant trading fund department</w:t>
            </w:r>
            <w:r w:rsidRPr="00221D42">
              <w:rPr>
                <w:b w:val="0"/>
                <w:sz w:val="24"/>
              </w:rPr>
              <w:t>”).</w:t>
            </w:r>
          </w:p>
          <w:p w14:paraId="781E0B95" w14:textId="0563ABCF" w:rsidR="003A0957" w:rsidRPr="00221D42" w:rsidRDefault="003A0957" w:rsidP="00FA361A">
            <w:pPr>
              <w:pStyle w:val="a9"/>
              <w:spacing w:beforeLines="20" w:before="72" w:afterLines="20" w:after="72"/>
              <w:ind w:rightChars="63" w:right="151"/>
              <w:jc w:val="both"/>
              <w:rPr>
                <w:b w:val="0"/>
                <w:sz w:val="24"/>
              </w:rPr>
            </w:pPr>
          </w:p>
        </w:tc>
        <w:tc>
          <w:tcPr>
            <w:tcW w:w="4322" w:type="dxa"/>
            <w:tcBorders>
              <w:top w:val="nil"/>
              <w:bottom w:val="nil"/>
            </w:tcBorders>
          </w:tcPr>
          <w:p w14:paraId="21B1E346" w14:textId="77777777" w:rsidR="00FA361A" w:rsidRDefault="00FA361A" w:rsidP="00FA361A">
            <w:pPr>
              <w:pStyle w:val="a9"/>
              <w:spacing w:beforeLines="20" w:before="72" w:afterLines="20" w:after="72"/>
              <w:ind w:leftChars="63" w:left="151" w:rightChars="60" w:right="144"/>
              <w:jc w:val="both"/>
              <w:rPr>
                <w:b w:val="0"/>
                <w:bCs w:val="0"/>
                <w:sz w:val="24"/>
              </w:rPr>
            </w:pPr>
            <w:r>
              <w:rPr>
                <w:b w:val="0"/>
                <w:bCs w:val="0"/>
                <w:sz w:val="24"/>
              </w:rPr>
              <w:t>This is to be used if Trading Fund is invited to tender.</w:t>
            </w:r>
            <w:r>
              <w:t xml:space="preserve"> </w:t>
            </w:r>
            <w:r w:rsidRPr="00277C12">
              <w:rPr>
                <w:rFonts w:hint="eastAsia"/>
                <w:b w:val="0"/>
                <w:sz w:val="24"/>
              </w:rPr>
              <w:t xml:space="preserve">See </w:t>
            </w:r>
            <w:r w:rsidRPr="00B41A59">
              <w:rPr>
                <w:b w:val="0"/>
                <w:bCs w:val="0"/>
                <w:sz w:val="24"/>
              </w:rPr>
              <w:t>FC 7/2014</w:t>
            </w:r>
            <w:r>
              <w:rPr>
                <w:rFonts w:hint="eastAsia"/>
                <w:b w:val="0"/>
                <w:bCs w:val="0"/>
                <w:sz w:val="24"/>
              </w:rPr>
              <w:t>.</w:t>
            </w:r>
          </w:p>
          <w:p w14:paraId="68F72BCB" w14:textId="654A5EEE" w:rsidR="00FA361A" w:rsidRDefault="00FA361A" w:rsidP="00FA361A">
            <w:pPr>
              <w:pStyle w:val="a9"/>
              <w:tabs>
                <w:tab w:val="clear" w:pos="904"/>
                <w:tab w:val="clear" w:pos="1680"/>
                <w:tab w:val="clear" w:pos="2520"/>
                <w:tab w:val="clear" w:pos="3000"/>
                <w:tab w:val="left" w:pos="527"/>
              </w:tabs>
              <w:spacing w:beforeLines="20" w:before="72" w:afterLines="20" w:after="72"/>
              <w:ind w:leftChars="63" w:left="151" w:rightChars="60" w:right="144"/>
              <w:jc w:val="both"/>
              <w:rPr>
                <w:b w:val="0"/>
                <w:bCs w:val="0"/>
                <w:sz w:val="24"/>
                <w:lang w:eastAsia="zh-HK"/>
              </w:rPr>
            </w:pPr>
            <w:r w:rsidRPr="009D5198">
              <w:rPr>
                <w:b w:val="0"/>
                <w:bCs w:val="0"/>
                <w:iCs/>
                <w:color w:val="0000FF"/>
                <w:sz w:val="24"/>
              </w:rPr>
              <w:t>*</w:t>
            </w:r>
            <w:r w:rsidRPr="009D5198">
              <w:rPr>
                <w:b w:val="0"/>
                <w:bCs w:val="0"/>
                <w:iCs/>
                <w:color w:val="0000FF"/>
                <w:sz w:val="24"/>
              </w:rPr>
              <w:tab/>
              <w:t>Delete as appropriate</w:t>
            </w:r>
          </w:p>
        </w:tc>
      </w:tr>
      <w:tr w:rsidR="00FA361A" w14:paraId="73A5F414" w14:textId="77777777" w:rsidTr="00F6357B">
        <w:trPr>
          <w:trHeight w:val="6398"/>
        </w:trPr>
        <w:tc>
          <w:tcPr>
            <w:tcW w:w="595" w:type="dxa"/>
            <w:tcBorders>
              <w:top w:val="nil"/>
              <w:right w:val="nil"/>
            </w:tcBorders>
          </w:tcPr>
          <w:p w14:paraId="65B17D8F" w14:textId="051AC9EC" w:rsidR="00FA361A" w:rsidRDefault="00FA361A" w:rsidP="00FA361A">
            <w:pPr>
              <w:pStyle w:val="a9"/>
              <w:spacing w:beforeLines="20" w:before="72" w:afterLines="20" w:after="72"/>
              <w:ind w:rightChars="63" w:right="151"/>
              <w:jc w:val="both"/>
              <w:rPr>
                <w:b w:val="0"/>
                <w:bCs w:val="0"/>
                <w:sz w:val="24"/>
                <w:lang w:eastAsia="zh-HK"/>
              </w:rPr>
            </w:pPr>
            <w:r>
              <w:rPr>
                <w:rFonts w:hint="eastAsia"/>
                <w:b w:val="0"/>
                <w:bCs w:val="0"/>
                <w:sz w:val="24"/>
              </w:rPr>
              <w:t>(2)</w:t>
            </w:r>
          </w:p>
        </w:tc>
        <w:tc>
          <w:tcPr>
            <w:tcW w:w="4651" w:type="dxa"/>
            <w:tcBorders>
              <w:top w:val="nil"/>
              <w:left w:val="nil"/>
            </w:tcBorders>
          </w:tcPr>
          <w:p w14:paraId="5C08381A" w14:textId="4511E3E1" w:rsidR="00FA361A" w:rsidRDefault="00FA361A" w:rsidP="00FA361A">
            <w:pPr>
              <w:pStyle w:val="a9"/>
              <w:spacing w:beforeLines="20" w:before="72" w:afterLines="20" w:after="72"/>
              <w:ind w:rightChars="63" w:right="151"/>
              <w:jc w:val="both"/>
              <w:rPr>
                <w:b w:val="0"/>
                <w:sz w:val="24"/>
                <w:lang w:eastAsia="zh-HK"/>
              </w:rPr>
            </w:pPr>
            <w:r w:rsidRPr="00221D42">
              <w:rPr>
                <w:b w:val="0"/>
                <w:sz w:val="24"/>
              </w:rPr>
              <w:t xml:space="preserve">Unless it is in the public interest not to do so, the Government will award </w:t>
            </w:r>
            <w:r w:rsidRPr="001524D7">
              <w:rPr>
                <w:b w:val="0"/>
                <w:sz w:val="24"/>
              </w:rPr>
              <w:t>th</w:t>
            </w:r>
            <w:r w:rsidR="00C35498">
              <w:rPr>
                <w:rFonts w:hint="eastAsia"/>
                <w:b w:val="0"/>
                <w:sz w:val="24"/>
                <w:lang w:eastAsia="zh-HK"/>
              </w:rPr>
              <w:t>e</w:t>
            </w:r>
            <w:r w:rsidRPr="001524D7">
              <w:rPr>
                <w:b w:val="0"/>
                <w:sz w:val="24"/>
              </w:rPr>
              <w:t xml:space="preserve"> contract</w:t>
            </w:r>
            <w:r w:rsidRPr="00221D42">
              <w:rPr>
                <w:b w:val="0"/>
                <w:sz w:val="24"/>
              </w:rPr>
              <w:t xml:space="preserve"> to the tenderer who has been determined to be fully capable of undertaking </w:t>
            </w:r>
            <w:r w:rsidRPr="001524D7">
              <w:rPr>
                <w:b w:val="0"/>
                <w:sz w:val="24"/>
              </w:rPr>
              <w:t>th</w:t>
            </w:r>
            <w:r w:rsidR="00C35498">
              <w:rPr>
                <w:rFonts w:hint="eastAsia"/>
                <w:b w:val="0"/>
                <w:sz w:val="24"/>
                <w:lang w:eastAsia="zh-HK"/>
              </w:rPr>
              <w:t>e</w:t>
            </w:r>
            <w:bookmarkStart w:id="0" w:name="_GoBack"/>
            <w:bookmarkEnd w:id="0"/>
            <w:r w:rsidRPr="001524D7">
              <w:rPr>
                <w:b w:val="0"/>
                <w:sz w:val="24"/>
              </w:rPr>
              <w:t xml:space="preserve"> contract</w:t>
            </w:r>
            <w:r w:rsidRPr="00221D42">
              <w:rPr>
                <w:b w:val="0"/>
                <w:sz w:val="24"/>
              </w:rPr>
              <w:t xml:space="preserve"> and whose tender, whether for domestic products or services, or products or services of others, is either the lowest tender or the tender which in terms of the specific evaluation criteria set forth in this tender documentation is determined to be the most advantageous. In the situation where the tenderer selected in accordance with the foregoing criteria is the relevant trading fund department, the Government may, instead of issuing a contract, enter into a service level agreement with the relevant trading fund department.</w:t>
            </w:r>
          </w:p>
          <w:p w14:paraId="652ACA69" w14:textId="6FC10C78" w:rsidR="00FA361A" w:rsidRPr="00221D42" w:rsidRDefault="00FA361A" w:rsidP="00FA361A">
            <w:pPr>
              <w:pStyle w:val="a9"/>
              <w:spacing w:beforeLines="20" w:before="72" w:afterLines="20" w:after="72"/>
              <w:ind w:rightChars="63" w:right="151"/>
              <w:jc w:val="both"/>
              <w:rPr>
                <w:b w:val="0"/>
                <w:sz w:val="24"/>
              </w:rPr>
            </w:pPr>
          </w:p>
        </w:tc>
        <w:tc>
          <w:tcPr>
            <w:tcW w:w="4322" w:type="dxa"/>
            <w:tcBorders>
              <w:top w:val="nil"/>
            </w:tcBorders>
          </w:tcPr>
          <w:p w14:paraId="35A41AD3" w14:textId="58C52F3B" w:rsidR="00FA361A" w:rsidRDefault="00FA361A" w:rsidP="00FA361A">
            <w:pPr>
              <w:pStyle w:val="a9"/>
              <w:spacing w:beforeLines="20" w:before="72" w:afterLines="20" w:after="72"/>
              <w:ind w:leftChars="63" w:left="151" w:rightChars="60" w:right="144"/>
              <w:jc w:val="both"/>
              <w:rPr>
                <w:b w:val="0"/>
                <w:bCs w:val="0"/>
                <w:sz w:val="24"/>
                <w:lang w:eastAsia="zh-HK"/>
              </w:rPr>
            </w:pPr>
          </w:p>
        </w:tc>
      </w:tr>
    </w:tbl>
    <w:p w14:paraId="5F88A815" w14:textId="77777777" w:rsidR="00D75908" w:rsidRPr="009A7AB3" w:rsidRDefault="00D75908" w:rsidP="00427391">
      <w:pPr>
        <w:spacing w:line="288" w:lineRule="auto"/>
        <w:ind w:left="360" w:right="28"/>
        <w:jc w:val="both"/>
      </w:pPr>
    </w:p>
    <w:p w14:paraId="18A51110" w14:textId="17E9FE5A" w:rsidR="00E44336" w:rsidRDefault="00E44336" w:rsidP="00427391">
      <w:pPr>
        <w:spacing w:line="288" w:lineRule="auto"/>
        <w:ind w:left="360" w:right="28"/>
        <w:jc w:val="both"/>
      </w:pPr>
    </w:p>
    <w:p w14:paraId="06CF7C52" w14:textId="2CE0A725" w:rsidR="006C0CAA" w:rsidRPr="00E44336" w:rsidRDefault="00E44336" w:rsidP="00E44336">
      <w:pPr>
        <w:tabs>
          <w:tab w:val="left" w:pos="1680"/>
        </w:tabs>
      </w:pPr>
      <w:r>
        <w:tab/>
      </w:r>
    </w:p>
    <w:sectPr w:rsidR="006C0CAA" w:rsidRPr="00E44336"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61441" w14:textId="77777777" w:rsidR="006652FF" w:rsidRDefault="006652FF" w:rsidP="00A24422">
      <w:pPr>
        <w:pStyle w:val="ae"/>
      </w:pPr>
      <w:r>
        <w:separator/>
      </w:r>
    </w:p>
  </w:endnote>
  <w:endnote w:type="continuationSeparator" w:id="0">
    <w:p w14:paraId="216B6D04" w14:textId="77777777" w:rsidR="006652FF" w:rsidRDefault="006652FF"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4BDB8" w14:textId="77777777" w:rsidR="00540A44" w:rsidRDefault="00540A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5EE5" w14:textId="77777777" w:rsidR="00462E23" w:rsidRPr="0016131A" w:rsidRDefault="00462E23">
    <w:pPr>
      <w:pStyle w:val="a6"/>
      <w:pBdr>
        <w:bottom w:val="single" w:sz="12" w:space="1" w:color="auto"/>
      </w:pBdr>
    </w:pPr>
  </w:p>
  <w:p w14:paraId="1E517320" w14:textId="77777777" w:rsidR="00462E23" w:rsidRPr="0016131A" w:rsidRDefault="00462E23">
    <w:pPr>
      <w:pStyle w:val="a6"/>
    </w:pPr>
  </w:p>
  <w:p w14:paraId="35BA56BC" w14:textId="2EF43E29" w:rsidR="00462E23" w:rsidRPr="0016131A" w:rsidRDefault="00626235" w:rsidP="0016131A">
    <w:pPr>
      <w:pStyle w:val="a6"/>
      <w:tabs>
        <w:tab w:val="clear" w:pos="4153"/>
        <w:tab w:val="clear" w:pos="8306"/>
        <w:tab w:val="left" w:pos="3600"/>
        <w:tab w:val="left" w:pos="7655"/>
      </w:tabs>
      <w:rPr>
        <w:lang w:eastAsia="zh-HK"/>
      </w:rPr>
    </w:pPr>
    <w:r w:rsidRPr="0016131A">
      <w:rPr>
        <w:rFonts w:hint="eastAsia"/>
        <w:b/>
        <w:bCs/>
        <w:iCs/>
        <w:lang w:eastAsia="zh-HK"/>
      </w:rPr>
      <w:t>Library of Standard SCT for NEC ECC</w:t>
    </w:r>
    <w:r w:rsidR="00EA4136" w:rsidRPr="0016131A">
      <w:rPr>
        <w:b/>
        <w:bCs/>
        <w:iCs/>
        <w:lang w:eastAsia="zh-HK"/>
      </w:rPr>
      <w:t xml:space="preserve"> HK Edition</w:t>
    </w:r>
    <w:r w:rsidRPr="0016131A">
      <w:rPr>
        <w:b/>
        <w:bCs/>
        <w:iCs/>
      </w:rPr>
      <w:t xml:space="preserve"> (</w:t>
    </w:r>
    <w:r w:rsidR="00540A44">
      <w:rPr>
        <w:b/>
        <w:bCs/>
        <w:iCs/>
      </w:rPr>
      <w:t>15</w:t>
    </w:r>
    <w:r w:rsidR="00EA4136" w:rsidRPr="0016131A">
      <w:rPr>
        <w:b/>
        <w:bCs/>
        <w:iCs/>
        <w:lang w:eastAsia="zh-HK"/>
      </w:rPr>
      <w:t>.</w:t>
    </w:r>
    <w:r w:rsidR="00E36BE1" w:rsidRPr="0016131A">
      <w:rPr>
        <w:b/>
        <w:bCs/>
        <w:iCs/>
        <w:lang w:eastAsia="zh-HK"/>
      </w:rPr>
      <w:t>11</w:t>
    </w:r>
    <w:r w:rsidR="00F0308D" w:rsidRPr="0016131A">
      <w:rPr>
        <w:b/>
        <w:bCs/>
        <w:iCs/>
        <w:lang w:eastAsia="zh-HK"/>
      </w:rPr>
      <w:t>.202</w:t>
    </w:r>
    <w:r w:rsidR="00EA4136" w:rsidRPr="0016131A">
      <w:rPr>
        <w:b/>
        <w:bCs/>
        <w:iCs/>
        <w:lang w:eastAsia="zh-HK"/>
      </w:rPr>
      <w:t>3</w:t>
    </w:r>
    <w:r w:rsidRPr="0016131A">
      <w:rPr>
        <w:b/>
        <w:bCs/>
        <w:iCs/>
      </w:rPr>
      <w:t>)</w:t>
    </w:r>
    <w:r w:rsidR="00462E23" w:rsidRPr="0016131A">
      <w:rPr>
        <w:b/>
        <w:bCs/>
        <w:iCs/>
      </w:rPr>
      <w:tab/>
      <w:t>Page</w:t>
    </w:r>
    <w:r w:rsidR="00FA361A" w:rsidRPr="0016131A">
      <w:rPr>
        <w:b/>
        <w:bCs/>
        <w:iCs/>
      </w:rPr>
      <w:t xml:space="preserve"> SCT 16</w:t>
    </w:r>
    <w:r w:rsidR="00F0308D" w:rsidRPr="0016131A">
      <w:rPr>
        <w:b/>
        <w:bCs/>
        <w:iCs/>
      </w:rPr>
      <w:t xml:space="preserve"> -</w:t>
    </w:r>
    <w:r w:rsidR="00462E23" w:rsidRPr="0016131A">
      <w:rPr>
        <w:b/>
        <w:bCs/>
        <w:iCs/>
      </w:rPr>
      <w:t xml:space="preserve"> </w:t>
    </w:r>
    <w:r w:rsidR="00462E23" w:rsidRPr="0016131A">
      <w:rPr>
        <w:b/>
        <w:bCs/>
        <w:iCs/>
      </w:rPr>
      <w:fldChar w:fldCharType="begin"/>
    </w:r>
    <w:r w:rsidR="00462E23" w:rsidRPr="0016131A">
      <w:rPr>
        <w:b/>
        <w:bCs/>
        <w:iCs/>
      </w:rPr>
      <w:instrText xml:space="preserve"> PAGE </w:instrText>
    </w:r>
    <w:r w:rsidR="00462E23" w:rsidRPr="0016131A">
      <w:rPr>
        <w:b/>
        <w:bCs/>
        <w:iCs/>
      </w:rPr>
      <w:fldChar w:fldCharType="separate"/>
    </w:r>
    <w:r w:rsidR="00C35498">
      <w:rPr>
        <w:b/>
        <w:bCs/>
        <w:iCs/>
        <w:noProof/>
      </w:rPr>
      <w:t>1</w:t>
    </w:r>
    <w:r w:rsidR="00462E23" w:rsidRPr="0016131A">
      <w:rPr>
        <w:b/>
        <w:bCs/>
        <w:iCs/>
      </w:rPr>
      <w:fldChar w:fldCharType="end"/>
    </w:r>
    <w:r w:rsidR="00462E23" w:rsidRPr="0016131A">
      <w:rPr>
        <w:b/>
        <w:bCs/>
        <w:iCs/>
      </w:rPr>
      <w:t xml:space="preserve"> of </w:t>
    </w:r>
    <w:r w:rsidR="003E336A" w:rsidRPr="0016131A">
      <w:rPr>
        <w:b/>
        <w:bCs/>
        <w:iCs/>
      </w:rPr>
      <w:fldChar w:fldCharType="begin"/>
    </w:r>
    <w:r w:rsidR="003E336A" w:rsidRPr="0016131A">
      <w:rPr>
        <w:b/>
        <w:bCs/>
        <w:iCs/>
      </w:rPr>
      <w:instrText xml:space="preserve"> NUMPAGES  </w:instrText>
    </w:r>
    <w:r w:rsidR="003E336A" w:rsidRPr="0016131A">
      <w:rPr>
        <w:b/>
        <w:bCs/>
        <w:iCs/>
      </w:rPr>
      <w:fldChar w:fldCharType="separate"/>
    </w:r>
    <w:r w:rsidR="00C35498">
      <w:rPr>
        <w:b/>
        <w:bCs/>
        <w:iCs/>
        <w:noProof/>
      </w:rPr>
      <w:t>1</w:t>
    </w:r>
    <w:r w:rsidR="003E336A" w:rsidRPr="0016131A">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2CBD" w14:textId="77777777" w:rsidR="00540A44" w:rsidRDefault="00540A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0BE4F" w14:textId="77777777" w:rsidR="006652FF" w:rsidRDefault="006652FF" w:rsidP="00A24422">
      <w:pPr>
        <w:pStyle w:val="ae"/>
      </w:pPr>
      <w:r>
        <w:separator/>
      </w:r>
    </w:p>
  </w:footnote>
  <w:footnote w:type="continuationSeparator" w:id="0">
    <w:p w14:paraId="483DFA1C" w14:textId="77777777" w:rsidR="006652FF" w:rsidRDefault="006652FF"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59C4B" w14:textId="77777777" w:rsidR="00540A44" w:rsidRDefault="00540A4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47B7" w14:textId="77777777" w:rsidR="00427391" w:rsidRDefault="00427391" w:rsidP="00427391">
    <w:pPr>
      <w:pStyle w:val="a4"/>
      <w:jc w:val="center"/>
    </w:pPr>
    <w:r>
      <w:rPr>
        <w:b/>
        <w:bCs/>
        <w:sz w:val="26"/>
        <w:lang w:val="en-US"/>
      </w:rPr>
      <w:t>Special Conditions of Tender</w:t>
    </w:r>
  </w:p>
  <w:p w14:paraId="13A7F41A"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4CD5" w14:textId="77777777" w:rsidR="00540A44" w:rsidRDefault="00540A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66175C7"/>
    <w:multiLevelType w:val="hybridMultilevel"/>
    <w:tmpl w:val="4A8EA698"/>
    <w:lvl w:ilvl="0" w:tplc="BBB803A0">
      <w:start w:val="1"/>
      <w:numFmt w:val="lowerLetter"/>
      <w:lvlText w:val="(%1)"/>
      <w:lvlJc w:val="left"/>
      <w:pPr>
        <w:tabs>
          <w:tab w:val="num" w:pos="630"/>
        </w:tabs>
        <w:ind w:left="630" w:hanging="360"/>
      </w:pPr>
      <w:rPr>
        <w:rFonts w:hint="default"/>
      </w:rPr>
    </w:lvl>
    <w:lvl w:ilvl="1" w:tplc="FC54E8F8">
      <w:start w:val="1"/>
      <w:numFmt w:val="bullet"/>
      <w:lvlText w:val="-"/>
      <w:lvlJc w:val="left"/>
      <w:pPr>
        <w:tabs>
          <w:tab w:val="num" w:pos="1209"/>
        </w:tabs>
        <w:ind w:left="1209" w:hanging="459"/>
      </w:pPr>
      <w:rPr>
        <w:rFonts w:ascii="Times New Roman" w:hAnsi="Times New Roman" w:cs="Times New Roman" w:hint="default"/>
      </w:r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E27411"/>
    <w:multiLevelType w:val="hybridMultilevel"/>
    <w:tmpl w:val="605E7110"/>
    <w:lvl w:ilvl="0" w:tplc="12E8A862">
      <w:start w:val="1"/>
      <w:numFmt w:val="low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4"/>
  </w:num>
  <w:num w:numId="3">
    <w:abstractNumId w:val="1"/>
  </w:num>
  <w:num w:numId="4">
    <w:abstractNumId w:val="17"/>
  </w:num>
  <w:num w:numId="5">
    <w:abstractNumId w:val="23"/>
  </w:num>
  <w:num w:numId="6">
    <w:abstractNumId w:val="31"/>
  </w:num>
  <w:num w:numId="7">
    <w:abstractNumId w:val="25"/>
  </w:num>
  <w:num w:numId="8">
    <w:abstractNumId w:val="20"/>
  </w:num>
  <w:num w:numId="9">
    <w:abstractNumId w:val="29"/>
  </w:num>
  <w:num w:numId="10">
    <w:abstractNumId w:val="33"/>
  </w:num>
  <w:num w:numId="11">
    <w:abstractNumId w:val="4"/>
  </w:num>
  <w:num w:numId="12">
    <w:abstractNumId w:val="32"/>
  </w:num>
  <w:num w:numId="13">
    <w:abstractNumId w:val="19"/>
  </w:num>
  <w:num w:numId="14">
    <w:abstractNumId w:val="35"/>
  </w:num>
  <w:num w:numId="15">
    <w:abstractNumId w:val="13"/>
  </w:num>
  <w:num w:numId="16">
    <w:abstractNumId w:val="18"/>
  </w:num>
  <w:num w:numId="17">
    <w:abstractNumId w:val="34"/>
  </w:num>
  <w:num w:numId="18">
    <w:abstractNumId w:val="21"/>
  </w:num>
  <w:num w:numId="19">
    <w:abstractNumId w:val="2"/>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6"/>
  </w:num>
  <w:num w:numId="30">
    <w:abstractNumId w:val="8"/>
  </w:num>
  <w:num w:numId="31">
    <w:abstractNumId w:val="36"/>
  </w:num>
  <w:num w:numId="32">
    <w:abstractNumId w:val="27"/>
  </w:num>
  <w:num w:numId="33">
    <w:abstractNumId w:val="28"/>
  </w:num>
  <w:num w:numId="34">
    <w:abstractNumId w:val="11"/>
  </w:num>
  <w:num w:numId="35">
    <w:abstractNumId w:val="15"/>
  </w:num>
  <w:num w:numId="36">
    <w:abstractNumId w:val="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07C0"/>
    <w:rsid w:val="00052CDA"/>
    <w:rsid w:val="00054FD5"/>
    <w:rsid w:val="0006112A"/>
    <w:rsid w:val="00061310"/>
    <w:rsid w:val="00067F20"/>
    <w:rsid w:val="00070107"/>
    <w:rsid w:val="000727BF"/>
    <w:rsid w:val="00074E49"/>
    <w:rsid w:val="0008076D"/>
    <w:rsid w:val="000814D4"/>
    <w:rsid w:val="00084F85"/>
    <w:rsid w:val="000858FA"/>
    <w:rsid w:val="000945B5"/>
    <w:rsid w:val="000A2B49"/>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4EC"/>
    <w:rsid w:val="00116B98"/>
    <w:rsid w:val="00121F6F"/>
    <w:rsid w:val="00122F8A"/>
    <w:rsid w:val="0012354F"/>
    <w:rsid w:val="001236B8"/>
    <w:rsid w:val="00125EC7"/>
    <w:rsid w:val="00136EF9"/>
    <w:rsid w:val="0014037C"/>
    <w:rsid w:val="00142007"/>
    <w:rsid w:val="00142896"/>
    <w:rsid w:val="00144CD5"/>
    <w:rsid w:val="00146A88"/>
    <w:rsid w:val="00146B3C"/>
    <w:rsid w:val="00151BCB"/>
    <w:rsid w:val="0015224A"/>
    <w:rsid w:val="0016131A"/>
    <w:rsid w:val="00165AF8"/>
    <w:rsid w:val="00170897"/>
    <w:rsid w:val="001866A6"/>
    <w:rsid w:val="00194B83"/>
    <w:rsid w:val="00196499"/>
    <w:rsid w:val="00197D40"/>
    <w:rsid w:val="001A2BD0"/>
    <w:rsid w:val="001B3A8B"/>
    <w:rsid w:val="001B4465"/>
    <w:rsid w:val="001C226D"/>
    <w:rsid w:val="001C49C4"/>
    <w:rsid w:val="001C56C1"/>
    <w:rsid w:val="001C6BD5"/>
    <w:rsid w:val="001D407A"/>
    <w:rsid w:val="001D45C9"/>
    <w:rsid w:val="001D78DE"/>
    <w:rsid w:val="001E342D"/>
    <w:rsid w:val="001F13CA"/>
    <w:rsid w:val="001F1F8B"/>
    <w:rsid w:val="00200537"/>
    <w:rsid w:val="00201796"/>
    <w:rsid w:val="00202558"/>
    <w:rsid w:val="00210D07"/>
    <w:rsid w:val="00212504"/>
    <w:rsid w:val="00215E43"/>
    <w:rsid w:val="00221BA4"/>
    <w:rsid w:val="00221DE0"/>
    <w:rsid w:val="00224574"/>
    <w:rsid w:val="00224D8C"/>
    <w:rsid w:val="002303E3"/>
    <w:rsid w:val="002317CA"/>
    <w:rsid w:val="0023606F"/>
    <w:rsid w:val="00236213"/>
    <w:rsid w:val="00246FC8"/>
    <w:rsid w:val="00251549"/>
    <w:rsid w:val="00252812"/>
    <w:rsid w:val="00267486"/>
    <w:rsid w:val="00267B8D"/>
    <w:rsid w:val="00273F6A"/>
    <w:rsid w:val="002804C9"/>
    <w:rsid w:val="0028225E"/>
    <w:rsid w:val="0029030A"/>
    <w:rsid w:val="00290312"/>
    <w:rsid w:val="00294A4A"/>
    <w:rsid w:val="00295D84"/>
    <w:rsid w:val="00297CF7"/>
    <w:rsid w:val="002A307A"/>
    <w:rsid w:val="002A5615"/>
    <w:rsid w:val="002B3D0B"/>
    <w:rsid w:val="002B4BC8"/>
    <w:rsid w:val="002B4EC6"/>
    <w:rsid w:val="002B5BC8"/>
    <w:rsid w:val="002B5DFD"/>
    <w:rsid w:val="002D11B7"/>
    <w:rsid w:val="002D41EA"/>
    <w:rsid w:val="002E7F43"/>
    <w:rsid w:val="002F2D0F"/>
    <w:rsid w:val="002F6CC5"/>
    <w:rsid w:val="00301B88"/>
    <w:rsid w:val="00304108"/>
    <w:rsid w:val="0031028D"/>
    <w:rsid w:val="0032131C"/>
    <w:rsid w:val="0032132B"/>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A095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3907"/>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EC7"/>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4E5C"/>
    <w:rsid w:val="004A5830"/>
    <w:rsid w:val="004B1BE5"/>
    <w:rsid w:val="004B2002"/>
    <w:rsid w:val="004C00B4"/>
    <w:rsid w:val="004C27D5"/>
    <w:rsid w:val="004C4119"/>
    <w:rsid w:val="004C6C21"/>
    <w:rsid w:val="004D0ACB"/>
    <w:rsid w:val="004D5112"/>
    <w:rsid w:val="004D6433"/>
    <w:rsid w:val="004E3F43"/>
    <w:rsid w:val="004E3FB3"/>
    <w:rsid w:val="004E6531"/>
    <w:rsid w:val="004F15FA"/>
    <w:rsid w:val="004F72F1"/>
    <w:rsid w:val="0050305E"/>
    <w:rsid w:val="005067C3"/>
    <w:rsid w:val="00511920"/>
    <w:rsid w:val="005129D7"/>
    <w:rsid w:val="00517E98"/>
    <w:rsid w:val="00531BD8"/>
    <w:rsid w:val="00536D76"/>
    <w:rsid w:val="00540A44"/>
    <w:rsid w:val="00540B8D"/>
    <w:rsid w:val="0054412E"/>
    <w:rsid w:val="0054799A"/>
    <w:rsid w:val="00560A55"/>
    <w:rsid w:val="00564010"/>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0655"/>
    <w:rsid w:val="005F1323"/>
    <w:rsid w:val="005F191C"/>
    <w:rsid w:val="005F320B"/>
    <w:rsid w:val="005F353B"/>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330AF"/>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652FF"/>
    <w:rsid w:val="006662E9"/>
    <w:rsid w:val="00670CF7"/>
    <w:rsid w:val="00670FAF"/>
    <w:rsid w:val="00675360"/>
    <w:rsid w:val="00676387"/>
    <w:rsid w:val="0068085A"/>
    <w:rsid w:val="00687314"/>
    <w:rsid w:val="00694469"/>
    <w:rsid w:val="006958CA"/>
    <w:rsid w:val="006A0349"/>
    <w:rsid w:val="006A1A32"/>
    <w:rsid w:val="006A56E1"/>
    <w:rsid w:val="006A73AF"/>
    <w:rsid w:val="006B0251"/>
    <w:rsid w:val="006B35E7"/>
    <w:rsid w:val="006B7325"/>
    <w:rsid w:val="006C0CAA"/>
    <w:rsid w:val="006C55FF"/>
    <w:rsid w:val="006D3BCE"/>
    <w:rsid w:val="006D6587"/>
    <w:rsid w:val="006E420A"/>
    <w:rsid w:val="006F314E"/>
    <w:rsid w:val="006F6F36"/>
    <w:rsid w:val="006F70BB"/>
    <w:rsid w:val="00702F48"/>
    <w:rsid w:val="007114A8"/>
    <w:rsid w:val="00715C52"/>
    <w:rsid w:val="00720747"/>
    <w:rsid w:val="00721F26"/>
    <w:rsid w:val="0072736A"/>
    <w:rsid w:val="007278B4"/>
    <w:rsid w:val="00730EE3"/>
    <w:rsid w:val="00741239"/>
    <w:rsid w:val="00742FD3"/>
    <w:rsid w:val="00751C3A"/>
    <w:rsid w:val="00752EFE"/>
    <w:rsid w:val="007601E7"/>
    <w:rsid w:val="007606EF"/>
    <w:rsid w:val="00761DC2"/>
    <w:rsid w:val="0076254F"/>
    <w:rsid w:val="007639B1"/>
    <w:rsid w:val="00765FC8"/>
    <w:rsid w:val="00770C2B"/>
    <w:rsid w:val="00782AEA"/>
    <w:rsid w:val="00783127"/>
    <w:rsid w:val="00786B6A"/>
    <w:rsid w:val="00790503"/>
    <w:rsid w:val="00794932"/>
    <w:rsid w:val="007A20D6"/>
    <w:rsid w:val="007A794E"/>
    <w:rsid w:val="007B2AEE"/>
    <w:rsid w:val="007B2ED9"/>
    <w:rsid w:val="007B4404"/>
    <w:rsid w:val="007B4CB5"/>
    <w:rsid w:val="007B7082"/>
    <w:rsid w:val="007B70EA"/>
    <w:rsid w:val="007C50FC"/>
    <w:rsid w:val="007C5CC0"/>
    <w:rsid w:val="007D5B44"/>
    <w:rsid w:val="007D633D"/>
    <w:rsid w:val="007D6D8C"/>
    <w:rsid w:val="007D7CC4"/>
    <w:rsid w:val="007E07B0"/>
    <w:rsid w:val="007E33FF"/>
    <w:rsid w:val="007E41A2"/>
    <w:rsid w:val="007E7713"/>
    <w:rsid w:val="007E7AC9"/>
    <w:rsid w:val="007F234E"/>
    <w:rsid w:val="007F2D93"/>
    <w:rsid w:val="007F75B7"/>
    <w:rsid w:val="0080437B"/>
    <w:rsid w:val="008046F7"/>
    <w:rsid w:val="00810CAB"/>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4801"/>
    <w:rsid w:val="00895589"/>
    <w:rsid w:val="0089764A"/>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382A"/>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636C7"/>
    <w:rsid w:val="009711E5"/>
    <w:rsid w:val="00975FAA"/>
    <w:rsid w:val="00977CC7"/>
    <w:rsid w:val="00982676"/>
    <w:rsid w:val="00987B59"/>
    <w:rsid w:val="00990990"/>
    <w:rsid w:val="0099483B"/>
    <w:rsid w:val="00996970"/>
    <w:rsid w:val="009A0914"/>
    <w:rsid w:val="009A27FA"/>
    <w:rsid w:val="009A3516"/>
    <w:rsid w:val="009A72DC"/>
    <w:rsid w:val="009A7850"/>
    <w:rsid w:val="009A7AB3"/>
    <w:rsid w:val="009B6BBC"/>
    <w:rsid w:val="009B7A95"/>
    <w:rsid w:val="009C4DFF"/>
    <w:rsid w:val="009C73CE"/>
    <w:rsid w:val="009C74BB"/>
    <w:rsid w:val="009D00F2"/>
    <w:rsid w:val="009D2978"/>
    <w:rsid w:val="009D39F2"/>
    <w:rsid w:val="009D5198"/>
    <w:rsid w:val="009E0258"/>
    <w:rsid w:val="009F0A7C"/>
    <w:rsid w:val="009F34F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4B94"/>
    <w:rsid w:val="00A67709"/>
    <w:rsid w:val="00A82A3F"/>
    <w:rsid w:val="00A83BE2"/>
    <w:rsid w:val="00A8418A"/>
    <w:rsid w:val="00A8539D"/>
    <w:rsid w:val="00AB0032"/>
    <w:rsid w:val="00AB316A"/>
    <w:rsid w:val="00AB6EA5"/>
    <w:rsid w:val="00AC39B6"/>
    <w:rsid w:val="00AC5EA2"/>
    <w:rsid w:val="00AD39E3"/>
    <w:rsid w:val="00AD4BD8"/>
    <w:rsid w:val="00AD706E"/>
    <w:rsid w:val="00AE0087"/>
    <w:rsid w:val="00AE028E"/>
    <w:rsid w:val="00AE2E27"/>
    <w:rsid w:val="00AF176C"/>
    <w:rsid w:val="00AF6599"/>
    <w:rsid w:val="00B0404F"/>
    <w:rsid w:val="00B10ECC"/>
    <w:rsid w:val="00B125AE"/>
    <w:rsid w:val="00B12E0B"/>
    <w:rsid w:val="00B15273"/>
    <w:rsid w:val="00B15AB7"/>
    <w:rsid w:val="00B169C0"/>
    <w:rsid w:val="00B17658"/>
    <w:rsid w:val="00B227F0"/>
    <w:rsid w:val="00B26C5A"/>
    <w:rsid w:val="00B272AF"/>
    <w:rsid w:val="00B32942"/>
    <w:rsid w:val="00B34106"/>
    <w:rsid w:val="00B3614E"/>
    <w:rsid w:val="00B404C1"/>
    <w:rsid w:val="00B42B4B"/>
    <w:rsid w:val="00B50113"/>
    <w:rsid w:val="00B70681"/>
    <w:rsid w:val="00B7091D"/>
    <w:rsid w:val="00B74857"/>
    <w:rsid w:val="00B80AEE"/>
    <w:rsid w:val="00B90AB1"/>
    <w:rsid w:val="00B92354"/>
    <w:rsid w:val="00B96816"/>
    <w:rsid w:val="00B973DD"/>
    <w:rsid w:val="00B97AC0"/>
    <w:rsid w:val="00BA04C1"/>
    <w:rsid w:val="00BA2192"/>
    <w:rsid w:val="00BA38DA"/>
    <w:rsid w:val="00BA66A2"/>
    <w:rsid w:val="00BA73A6"/>
    <w:rsid w:val="00BB312C"/>
    <w:rsid w:val="00BB476D"/>
    <w:rsid w:val="00BB5F9E"/>
    <w:rsid w:val="00BC04E1"/>
    <w:rsid w:val="00BC3213"/>
    <w:rsid w:val="00BC3D60"/>
    <w:rsid w:val="00BC41F7"/>
    <w:rsid w:val="00BD3F68"/>
    <w:rsid w:val="00BD57BA"/>
    <w:rsid w:val="00BD6BE3"/>
    <w:rsid w:val="00BD6D23"/>
    <w:rsid w:val="00BE2620"/>
    <w:rsid w:val="00BE29C0"/>
    <w:rsid w:val="00BE6879"/>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2CC2"/>
    <w:rsid w:val="00C24B90"/>
    <w:rsid w:val="00C3154E"/>
    <w:rsid w:val="00C33718"/>
    <w:rsid w:val="00C3385B"/>
    <w:rsid w:val="00C35498"/>
    <w:rsid w:val="00C35C28"/>
    <w:rsid w:val="00C44272"/>
    <w:rsid w:val="00C46987"/>
    <w:rsid w:val="00C46E17"/>
    <w:rsid w:val="00C4734B"/>
    <w:rsid w:val="00C50DB0"/>
    <w:rsid w:val="00C51F94"/>
    <w:rsid w:val="00C55298"/>
    <w:rsid w:val="00C5722D"/>
    <w:rsid w:val="00C621E0"/>
    <w:rsid w:val="00C642EB"/>
    <w:rsid w:val="00C839D8"/>
    <w:rsid w:val="00C84959"/>
    <w:rsid w:val="00C90D0B"/>
    <w:rsid w:val="00C9501C"/>
    <w:rsid w:val="00C95756"/>
    <w:rsid w:val="00C967F5"/>
    <w:rsid w:val="00C973F6"/>
    <w:rsid w:val="00CA0EEF"/>
    <w:rsid w:val="00CA641B"/>
    <w:rsid w:val="00CA6B7E"/>
    <w:rsid w:val="00CB5E88"/>
    <w:rsid w:val="00CB6E3C"/>
    <w:rsid w:val="00CC356D"/>
    <w:rsid w:val="00CC4DA3"/>
    <w:rsid w:val="00CC5289"/>
    <w:rsid w:val="00CC765A"/>
    <w:rsid w:val="00CC78B1"/>
    <w:rsid w:val="00CE5FCC"/>
    <w:rsid w:val="00CF0A33"/>
    <w:rsid w:val="00CF2E5C"/>
    <w:rsid w:val="00CF6AFC"/>
    <w:rsid w:val="00CF6E34"/>
    <w:rsid w:val="00D01647"/>
    <w:rsid w:val="00D04A96"/>
    <w:rsid w:val="00D11A1A"/>
    <w:rsid w:val="00D137CC"/>
    <w:rsid w:val="00D1407C"/>
    <w:rsid w:val="00D15D98"/>
    <w:rsid w:val="00D2315F"/>
    <w:rsid w:val="00D279DA"/>
    <w:rsid w:val="00D431F7"/>
    <w:rsid w:val="00D4469E"/>
    <w:rsid w:val="00D44D97"/>
    <w:rsid w:val="00D451A6"/>
    <w:rsid w:val="00D47BA5"/>
    <w:rsid w:val="00D50120"/>
    <w:rsid w:val="00D52BAA"/>
    <w:rsid w:val="00D55C99"/>
    <w:rsid w:val="00D57F53"/>
    <w:rsid w:val="00D75908"/>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F0501"/>
    <w:rsid w:val="00DF5F80"/>
    <w:rsid w:val="00E02521"/>
    <w:rsid w:val="00E02869"/>
    <w:rsid w:val="00E034A8"/>
    <w:rsid w:val="00E04F0D"/>
    <w:rsid w:val="00E12810"/>
    <w:rsid w:val="00E172EC"/>
    <w:rsid w:val="00E20C5A"/>
    <w:rsid w:val="00E2296B"/>
    <w:rsid w:val="00E34F71"/>
    <w:rsid w:val="00E3676A"/>
    <w:rsid w:val="00E36BE1"/>
    <w:rsid w:val="00E4022E"/>
    <w:rsid w:val="00E41A91"/>
    <w:rsid w:val="00E44336"/>
    <w:rsid w:val="00E47C73"/>
    <w:rsid w:val="00E55650"/>
    <w:rsid w:val="00E55E07"/>
    <w:rsid w:val="00E55FD9"/>
    <w:rsid w:val="00E6058E"/>
    <w:rsid w:val="00E6253A"/>
    <w:rsid w:val="00E63024"/>
    <w:rsid w:val="00E70FFE"/>
    <w:rsid w:val="00E9622D"/>
    <w:rsid w:val="00EA0FA7"/>
    <w:rsid w:val="00EA2488"/>
    <w:rsid w:val="00EA4136"/>
    <w:rsid w:val="00EB0D8C"/>
    <w:rsid w:val="00EB2795"/>
    <w:rsid w:val="00EB2F23"/>
    <w:rsid w:val="00EB761E"/>
    <w:rsid w:val="00EC018F"/>
    <w:rsid w:val="00EC3263"/>
    <w:rsid w:val="00EC49C7"/>
    <w:rsid w:val="00EC6CE5"/>
    <w:rsid w:val="00EC7BD1"/>
    <w:rsid w:val="00EC7FB4"/>
    <w:rsid w:val="00EE040C"/>
    <w:rsid w:val="00EE0EC5"/>
    <w:rsid w:val="00EE7533"/>
    <w:rsid w:val="00EE778A"/>
    <w:rsid w:val="00EF52B4"/>
    <w:rsid w:val="00EF53C8"/>
    <w:rsid w:val="00EF5A10"/>
    <w:rsid w:val="00EF5E93"/>
    <w:rsid w:val="00EF7443"/>
    <w:rsid w:val="00F0308D"/>
    <w:rsid w:val="00F071D8"/>
    <w:rsid w:val="00F16D4B"/>
    <w:rsid w:val="00F17506"/>
    <w:rsid w:val="00F204CE"/>
    <w:rsid w:val="00F22B30"/>
    <w:rsid w:val="00F2730A"/>
    <w:rsid w:val="00F30DF2"/>
    <w:rsid w:val="00F341DF"/>
    <w:rsid w:val="00F368D5"/>
    <w:rsid w:val="00F462B9"/>
    <w:rsid w:val="00F51723"/>
    <w:rsid w:val="00F5686B"/>
    <w:rsid w:val="00F56A9B"/>
    <w:rsid w:val="00F6150E"/>
    <w:rsid w:val="00F632B0"/>
    <w:rsid w:val="00F633CA"/>
    <w:rsid w:val="00F7095B"/>
    <w:rsid w:val="00F726CC"/>
    <w:rsid w:val="00F75BC8"/>
    <w:rsid w:val="00F82E7D"/>
    <w:rsid w:val="00F8626E"/>
    <w:rsid w:val="00F90C66"/>
    <w:rsid w:val="00F90ED7"/>
    <w:rsid w:val="00F9176E"/>
    <w:rsid w:val="00FA361A"/>
    <w:rsid w:val="00FA6DE4"/>
    <w:rsid w:val="00FB1159"/>
    <w:rsid w:val="00FB5480"/>
    <w:rsid w:val="00FB6991"/>
    <w:rsid w:val="00FB7604"/>
    <w:rsid w:val="00FC2E43"/>
    <w:rsid w:val="00FC3B5E"/>
    <w:rsid w:val="00FD02E9"/>
    <w:rsid w:val="00FD0F24"/>
    <w:rsid w:val="00FD4951"/>
    <w:rsid w:val="00FD57AD"/>
    <w:rsid w:val="00FE3460"/>
    <w:rsid w:val="00FE57F1"/>
    <w:rsid w:val="00FE7293"/>
    <w:rsid w:val="00FE7333"/>
    <w:rsid w:val="00FF10E0"/>
    <w:rsid w:val="00FF1F01"/>
    <w:rsid w:val="00FF5CA3"/>
    <w:rsid w:val="00FF7755"/>
    <w:rsid w:val="00FF7BA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2EA7E6"/>
  <w15:chartTrackingRefBased/>
  <w15:docId w15:val="{E83ED48C-6A59-4221-AF93-91AE57D8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character" w:styleId="af3">
    <w:name w:val="endnote reference"/>
    <w:rsid w:val="00BE6879"/>
    <w:rPr>
      <w:vertAlign w:val="superscript"/>
    </w:rPr>
  </w:style>
  <w:style w:type="paragraph" w:styleId="af4">
    <w:name w:val="Revision"/>
    <w:hidden/>
    <w:uiPriority w:val="99"/>
    <w:semiHidden/>
    <w:rsid w:val="007A20D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4B10-E498-4A29-B913-B10E2235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193</Words>
  <Characters>1105</Characters>
  <Application>Microsoft Office Word</Application>
  <DocSecurity>0</DocSecurity>
  <Lines>9</Lines>
  <Paragraphs>2</Paragraphs>
  <ScaleCrop>false</ScaleCrop>
  <Company>HKSARG</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15</cp:revision>
  <cp:lastPrinted>2020-08-04T10:12:00Z</cp:lastPrinted>
  <dcterms:created xsi:type="dcterms:W3CDTF">2023-10-06T03:23:00Z</dcterms:created>
  <dcterms:modified xsi:type="dcterms:W3CDTF">2023-11-15T08:07:00Z</dcterms:modified>
</cp:coreProperties>
</file>