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651"/>
        <w:gridCol w:w="4322"/>
      </w:tblGrid>
      <w:tr w:rsidR="00427391" w14:paraId="67CEC023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50A57E19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77E358B3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0A8F5541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FB53" w14:textId="77777777" w:rsidR="00427391" w:rsidRDefault="000C7676" w:rsidP="00B039B4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9636C7">
              <w:rPr>
                <w:b/>
                <w:bCs/>
              </w:rPr>
              <w:t>1</w:t>
            </w:r>
            <w:r w:rsidR="00BE6879">
              <w:rPr>
                <w:b/>
                <w:bCs/>
              </w:rPr>
              <w:t>5</w:t>
            </w:r>
            <w:r w:rsidR="00427391">
              <w:rPr>
                <w:b/>
                <w:bCs/>
              </w:rPr>
              <w:t xml:space="preserve"> </w:t>
            </w:r>
            <w:r w:rsidR="00BE6879" w:rsidRPr="002E199D">
              <w:rPr>
                <w:b/>
                <w:spacing w:val="-3"/>
              </w:rPr>
              <w:t>Reduction of Contingency Sums for Compensation Events</w:t>
            </w:r>
            <w:r w:rsidR="00E27AD5" w:rsidRPr="002E199D">
              <w:rPr>
                <w:b/>
                <w:spacing w:val="-3"/>
              </w:rPr>
              <w:t xml:space="preserve"> </w:t>
            </w:r>
          </w:p>
        </w:tc>
      </w:tr>
      <w:tr w:rsidR="00BE6879" w:rsidRPr="00A54B5B" w14:paraId="13934DC0" w14:textId="77777777" w:rsidTr="00BA38DA">
        <w:trPr>
          <w:cantSplit/>
        </w:trPr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37C657A3" w14:textId="77777777" w:rsidR="00BE6879" w:rsidRDefault="00BE6879" w:rsidP="00BA38D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(1)</w:t>
            </w:r>
          </w:p>
        </w:tc>
        <w:tc>
          <w:tcPr>
            <w:tcW w:w="4651" w:type="dxa"/>
            <w:tcBorders>
              <w:top w:val="nil"/>
              <w:left w:val="nil"/>
              <w:bottom w:val="nil"/>
            </w:tcBorders>
          </w:tcPr>
          <w:p w14:paraId="4F1CDB73" w14:textId="2CAAB19E" w:rsidR="00BE6879" w:rsidRPr="00F10918" w:rsidRDefault="00BE6879" w:rsidP="00E47872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CC5DA3">
              <w:rPr>
                <w:rFonts w:hint="eastAsia"/>
                <w:b w:val="0"/>
                <w:sz w:val="24"/>
              </w:rPr>
              <w:t xml:space="preserve">Without prejudice to the </w:t>
            </w:r>
            <w:r w:rsidRPr="00CC5DA3">
              <w:rPr>
                <w:b w:val="0"/>
                <w:sz w:val="24"/>
              </w:rPr>
              <w:t xml:space="preserve">generality of the other General Conditions of Tender and Special Conditions of Tender, the </w:t>
            </w:r>
            <w:r w:rsidR="0097728A" w:rsidRPr="00212F9D">
              <w:rPr>
                <w:b w:val="0"/>
                <w:i/>
                <w:color w:val="auto"/>
                <w:sz w:val="24"/>
              </w:rPr>
              <w:t>Client</w:t>
            </w:r>
            <w:r w:rsidR="0097728A" w:rsidRPr="00CC5DA3">
              <w:rPr>
                <w:b w:val="0"/>
                <w:sz w:val="24"/>
              </w:rPr>
              <w:t xml:space="preserve"> </w:t>
            </w:r>
            <w:r w:rsidRPr="00CC5DA3">
              <w:rPr>
                <w:b w:val="0"/>
                <w:sz w:val="24"/>
              </w:rPr>
              <w:t xml:space="preserve">reserves the right to </w:t>
            </w:r>
            <w:r w:rsidRPr="00CC5DA3">
              <w:rPr>
                <w:rFonts w:hint="eastAsia"/>
                <w:b w:val="0"/>
                <w:sz w:val="24"/>
              </w:rPr>
              <w:t>reduce</w:t>
            </w:r>
            <w:r w:rsidRPr="00CC5DA3">
              <w:rPr>
                <w:b w:val="0"/>
                <w:sz w:val="24"/>
              </w:rPr>
              <w:t xml:space="preserve"> unilaterally the</w:t>
            </w:r>
            <w:r w:rsidRPr="00CC5DA3">
              <w:rPr>
                <w:rFonts w:hint="eastAsia"/>
                <w:b w:val="0"/>
                <w:sz w:val="24"/>
              </w:rPr>
              <w:t xml:space="preserve"> amount of the</w:t>
            </w:r>
            <w:r w:rsidRPr="00CC5DA3">
              <w:rPr>
                <w:b w:val="0"/>
                <w:sz w:val="24"/>
              </w:rPr>
              <w:t xml:space="preserve"> </w:t>
            </w:r>
            <w:r w:rsidRPr="002E199D">
              <w:rPr>
                <w:rFonts w:hint="eastAsia"/>
                <w:b w:val="0"/>
                <w:color w:val="auto"/>
                <w:sz w:val="24"/>
                <w:lang w:eastAsia="zh-HK"/>
              </w:rPr>
              <w:t>c</w:t>
            </w:r>
            <w:r w:rsidRPr="002E199D">
              <w:rPr>
                <w:b w:val="0"/>
                <w:color w:val="auto"/>
                <w:sz w:val="24"/>
              </w:rPr>
              <w:t xml:space="preserve">ontingency </w:t>
            </w:r>
            <w:r w:rsidRPr="002E199D">
              <w:rPr>
                <w:rFonts w:hint="eastAsia"/>
                <w:b w:val="0"/>
                <w:color w:val="auto"/>
                <w:sz w:val="24"/>
                <w:lang w:eastAsia="zh-HK"/>
              </w:rPr>
              <w:t>s</w:t>
            </w:r>
            <w:r w:rsidRPr="002E199D">
              <w:rPr>
                <w:b w:val="0"/>
                <w:color w:val="auto"/>
                <w:sz w:val="24"/>
              </w:rPr>
              <w:t>um</w:t>
            </w:r>
            <w:r w:rsidRPr="002E199D">
              <w:rPr>
                <w:rFonts w:hint="eastAsia"/>
                <w:b w:val="0"/>
                <w:color w:val="auto"/>
                <w:sz w:val="24"/>
                <w:lang w:eastAsia="zh-HK"/>
              </w:rPr>
              <w:t>s for compensation events</w:t>
            </w:r>
            <w:r w:rsidRPr="00CC5DA3">
              <w:rPr>
                <w:rFonts w:hint="eastAsia"/>
                <w:b w:val="0"/>
                <w:sz w:val="24"/>
              </w:rPr>
              <w:t xml:space="preserve"> as stated in </w:t>
            </w:r>
            <w:r w:rsidRPr="002E199D">
              <w:rPr>
                <w:rFonts w:hint="eastAsia"/>
                <w:b w:val="0"/>
                <w:color w:val="auto"/>
                <w:sz w:val="24"/>
                <w:lang w:eastAsia="zh-HK"/>
              </w:rPr>
              <w:t>the Grand Summary of</w:t>
            </w:r>
            <w:r w:rsidRPr="002E199D">
              <w:rPr>
                <w:rFonts w:hint="eastAsia"/>
                <w:b w:val="0"/>
                <w:color w:val="0000FF"/>
                <w:sz w:val="24"/>
                <w:lang w:eastAsia="zh-HK"/>
              </w:rPr>
              <w:t xml:space="preserve"> </w:t>
            </w:r>
            <w:r w:rsidRPr="002E199D">
              <w:rPr>
                <w:rFonts w:hint="eastAsia"/>
                <w:b w:val="0"/>
                <w:color w:val="auto"/>
                <w:sz w:val="24"/>
                <w:lang w:eastAsia="zh-HK"/>
              </w:rPr>
              <w:t>the</w:t>
            </w:r>
            <w:r w:rsidRPr="00F9161F">
              <w:rPr>
                <w:rFonts w:hint="eastAsia"/>
                <w:b w:val="0"/>
                <w:color w:val="3333FF"/>
                <w:sz w:val="24"/>
                <w:lang w:eastAsia="zh-HK"/>
              </w:rPr>
              <w:t xml:space="preserve"> </w:t>
            </w:r>
            <w:r w:rsidR="00F9161F" w:rsidRPr="00F9161F">
              <w:rPr>
                <w:b w:val="0"/>
                <w:color w:val="3333FF"/>
                <w:sz w:val="24"/>
                <w:lang w:eastAsia="zh-HK"/>
              </w:rPr>
              <w:t>*</w:t>
            </w:r>
            <w:r w:rsidRPr="00F9161F">
              <w:rPr>
                <w:rFonts w:hint="eastAsia"/>
                <w:b w:val="0"/>
                <w:color w:val="3333FF"/>
                <w:sz w:val="24"/>
              </w:rPr>
              <w:t>[</w:t>
            </w:r>
            <w:r w:rsidRPr="00F9161F">
              <w:rPr>
                <w:rFonts w:hint="eastAsia"/>
                <w:b w:val="0"/>
                <w:i/>
                <w:color w:val="3333FF"/>
                <w:sz w:val="24"/>
                <w:lang w:eastAsia="zh-HK"/>
              </w:rPr>
              <w:t>activity schedule</w:t>
            </w:r>
            <w:r w:rsidR="00E92DFB">
              <w:rPr>
                <w:b w:val="0"/>
                <w:i/>
                <w:color w:val="3333FF"/>
                <w:sz w:val="24"/>
                <w:lang w:eastAsia="zh-HK"/>
              </w:rPr>
              <w:t xml:space="preserve"> </w:t>
            </w:r>
            <w:r w:rsidRPr="00F9161F">
              <w:rPr>
                <w:rFonts w:hint="eastAsia"/>
                <w:b w:val="0"/>
                <w:color w:val="3333FF"/>
                <w:sz w:val="24"/>
                <w:lang w:eastAsia="zh-HK"/>
              </w:rPr>
              <w:t>/</w:t>
            </w:r>
            <w:r w:rsidR="00E92DFB">
              <w:rPr>
                <w:b w:val="0"/>
                <w:color w:val="3333FF"/>
                <w:sz w:val="24"/>
                <w:lang w:eastAsia="zh-HK"/>
              </w:rPr>
              <w:t xml:space="preserve"> </w:t>
            </w:r>
            <w:r w:rsidRPr="00F9161F">
              <w:rPr>
                <w:rFonts w:hint="eastAsia"/>
                <w:b w:val="0"/>
                <w:i/>
                <w:color w:val="3333FF"/>
                <w:sz w:val="24"/>
                <w:lang w:eastAsia="zh-HK"/>
              </w:rPr>
              <w:t>b</w:t>
            </w:r>
            <w:r w:rsidRPr="00F9161F">
              <w:rPr>
                <w:rFonts w:hint="eastAsia"/>
                <w:b w:val="0"/>
                <w:i/>
                <w:color w:val="3333FF"/>
                <w:sz w:val="24"/>
              </w:rPr>
              <w:t xml:space="preserve">ill of </w:t>
            </w:r>
            <w:r w:rsidRPr="00F9161F">
              <w:rPr>
                <w:rFonts w:hint="eastAsia"/>
                <w:b w:val="0"/>
                <w:i/>
                <w:color w:val="3333FF"/>
                <w:sz w:val="24"/>
                <w:lang w:eastAsia="zh-HK"/>
              </w:rPr>
              <w:t>q</w:t>
            </w:r>
            <w:r w:rsidRPr="00F9161F">
              <w:rPr>
                <w:rFonts w:hint="eastAsia"/>
                <w:b w:val="0"/>
                <w:i/>
                <w:color w:val="3333FF"/>
                <w:sz w:val="24"/>
              </w:rPr>
              <w:t>uantities</w:t>
            </w:r>
            <w:r w:rsidRPr="00F9161F">
              <w:rPr>
                <w:rFonts w:hint="eastAsia"/>
                <w:b w:val="0"/>
                <w:color w:val="3333FF"/>
                <w:sz w:val="24"/>
              </w:rPr>
              <w:t>]</w:t>
            </w:r>
            <w:r w:rsidR="00532477" w:rsidRPr="00CC5DA3">
              <w:rPr>
                <w:rFonts w:hint="eastAsia"/>
                <w:b w:val="0"/>
                <w:sz w:val="24"/>
              </w:rPr>
              <w:t xml:space="preserve"> </w:t>
            </w:r>
            <w:r w:rsidRPr="00CC5DA3">
              <w:rPr>
                <w:rFonts w:hint="eastAsia"/>
                <w:b w:val="0"/>
                <w:sz w:val="24"/>
              </w:rPr>
              <w:t xml:space="preserve">by </w:t>
            </w:r>
            <w:r w:rsidRPr="00F10918">
              <w:rPr>
                <w:rFonts w:hint="eastAsia"/>
                <w:b w:val="0"/>
                <w:sz w:val="24"/>
              </w:rPr>
              <w:t>himself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 w:rsidRPr="00CC5DA3">
              <w:rPr>
                <w:rFonts w:hint="eastAsia"/>
                <w:b w:val="0"/>
                <w:sz w:val="24"/>
              </w:rPr>
              <w:t xml:space="preserve">giving </w:t>
            </w:r>
            <w:r w:rsidRPr="00F10918">
              <w:rPr>
                <w:rFonts w:hint="eastAsia"/>
                <w:b w:val="0"/>
                <w:sz w:val="24"/>
              </w:rPr>
              <w:t xml:space="preserve">or requiring the </w:t>
            </w:r>
            <w:r w:rsidRPr="002E199D">
              <w:rPr>
                <w:rFonts w:hint="eastAsia"/>
                <w:b w:val="0"/>
                <w:i/>
                <w:color w:val="auto"/>
                <w:sz w:val="24"/>
                <w:lang w:eastAsia="zh-HK"/>
              </w:rPr>
              <w:t>Project Manager</w:t>
            </w:r>
            <w:r>
              <w:rPr>
                <w:rFonts w:hint="eastAsia"/>
                <w:b w:val="0"/>
                <w:sz w:val="24"/>
                <w:lang w:eastAsia="zh-HK"/>
              </w:rPr>
              <w:t xml:space="preserve"> </w:t>
            </w:r>
            <w:r w:rsidRPr="00F10918">
              <w:rPr>
                <w:rFonts w:hint="eastAsia"/>
                <w:b w:val="0"/>
                <w:sz w:val="24"/>
              </w:rPr>
              <w:t>designate to give a</w:t>
            </w:r>
            <w:r w:rsidRPr="0012423F">
              <w:rPr>
                <w:rFonts w:hint="eastAsia"/>
                <w:b w:val="0"/>
                <w:sz w:val="24"/>
              </w:rPr>
              <w:t xml:space="preserve"> </w:t>
            </w:r>
            <w:r w:rsidRPr="00CC5DA3">
              <w:rPr>
                <w:rFonts w:hint="eastAsia"/>
                <w:b w:val="0"/>
                <w:sz w:val="24"/>
              </w:rPr>
              <w:t xml:space="preserve">notification in writing </w:t>
            </w:r>
            <w:r w:rsidRPr="00F10918">
              <w:rPr>
                <w:rFonts w:hint="eastAsia"/>
                <w:b w:val="0"/>
                <w:sz w:val="24"/>
              </w:rPr>
              <w:t xml:space="preserve">as regards </w:t>
            </w:r>
            <w:r w:rsidRPr="00F10918">
              <w:rPr>
                <w:b w:val="0"/>
                <w:sz w:val="24"/>
              </w:rPr>
              <w:t>the</w:t>
            </w:r>
            <w:r w:rsidRPr="00F10918">
              <w:rPr>
                <w:rFonts w:hint="eastAsia"/>
                <w:b w:val="0"/>
                <w:sz w:val="24"/>
              </w:rPr>
              <w:t xml:space="preserve"> reduction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 w:rsidRPr="00CC5DA3">
              <w:rPr>
                <w:rFonts w:hint="eastAsia"/>
                <w:b w:val="0"/>
                <w:sz w:val="24"/>
              </w:rPr>
              <w:t>to a tenderer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 w:rsidRPr="00CC5DA3">
              <w:rPr>
                <w:rFonts w:hint="eastAsia"/>
                <w:b w:val="0"/>
                <w:sz w:val="24"/>
              </w:rPr>
              <w:t xml:space="preserve">at any time after determination of the </w:t>
            </w:r>
            <w:r>
              <w:rPr>
                <w:rFonts w:hint="eastAsia"/>
                <w:b w:val="0"/>
                <w:sz w:val="24"/>
              </w:rPr>
              <w:t xml:space="preserve">price </w:t>
            </w:r>
            <w:r w:rsidRPr="00CC5DA3">
              <w:rPr>
                <w:rFonts w:hint="eastAsia"/>
                <w:b w:val="0"/>
                <w:sz w:val="24"/>
              </w:rPr>
              <w:t>ranking</w:t>
            </w:r>
            <w:r>
              <w:rPr>
                <w:rFonts w:hint="eastAsia"/>
                <w:b w:val="0"/>
                <w:sz w:val="24"/>
              </w:rPr>
              <w:t xml:space="preserve"> or </w:t>
            </w:r>
            <w:r w:rsidRPr="00CC5DA3">
              <w:rPr>
                <w:rFonts w:hint="eastAsia"/>
                <w:b w:val="0"/>
                <w:sz w:val="24"/>
              </w:rPr>
              <w:t xml:space="preserve">overall </w:t>
            </w:r>
            <w:r>
              <w:rPr>
                <w:rFonts w:hint="eastAsia"/>
                <w:b w:val="0"/>
                <w:sz w:val="24"/>
              </w:rPr>
              <w:t>marks/</w:t>
            </w:r>
            <w:r w:rsidRPr="00CC5DA3">
              <w:rPr>
                <w:rFonts w:hint="eastAsia"/>
                <w:b w:val="0"/>
                <w:sz w:val="24"/>
              </w:rPr>
              <w:t>scores of the tenders in accordance with the evaluation criteria set forth in the tender d</w:t>
            </w:r>
            <w:r>
              <w:rPr>
                <w:rFonts w:hint="eastAsia"/>
                <w:b w:val="0"/>
                <w:sz w:val="24"/>
              </w:rPr>
              <w:t xml:space="preserve">ocuments but before award of </w:t>
            </w:r>
            <w:r w:rsidRPr="002E199D">
              <w:rPr>
                <w:rFonts w:hint="eastAsia"/>
                <w:b w:val="0"/>
                <w:color w:val="auto"/>
                <w:sz w:val="24"/>
              </w:rPr>
              <w:t>th</w:t>
            </w:r>
            <w:r w:rsidR="00E47872">
              <w:rPr>
                <w:b w:val="0"/>
                <w:color w:val="auto"/>
                <w:sz w:val="24"/>
              </w:rPr>
              <w:t>e</w:t>
            </w:r>
            <w:bookmarkStart w:id="0" w:name="_GoBack"/>
            <w:bookmarkEnd w:id="0"/>
            <w:r w:rsidRPr="002E199D">
              <w:rPr>
                <w:rFonts w:hint="eastAsia"/>
                <w:b w:val="0"/>
                <w:color w:val="auto"/>
                <w:sz w:val="24"/>
              </w:rPr>
              <w:t xml:space="preserve"> contract</w:t>
            </w:r>
            <w:r w:rsidRPr="00CC5DA3">
              <w:rPr>
                <w:rFonts w:hint="eastAsia"/>
                <w:b w:val="0"/>
                <w:sz w:val="24"/>
              </w:rPr>
              <w:t>.</w:t>
            </w:r>
          </w:p>
        </w:tc>
        <w:tc>
          <w:tcPr>
            <w:tcW w:w="4322" w:type="dxa"/>
            <w:vMerge w:val="restart"/>
            <w:tcBorders>
              <w:top w:val="nil"/>
            </w:tcBorders>
          </w:tcPr>
          <w:p w14:paraId="211BB421" w14:textId="77777777" w:rsidR="00BE6879" w:rsidRDefault="00BE6879" w:rsidP="00BA38DA">
            <w:pPr>
              <w:pStyle w:val="ae"/>
              <w:tabs>
                <w:tab w:val="left" w:pos="94"/>
                <w:tab w:val="left" w:pos="5854"/>
              </w:tabs>
              <w:spacing w:beforeLines="20" w:before="72" w:afterLines="20" w:after="72"/>
              <w:ind w:leftChars="39" w:left="94" w:rightChars="63" w:right="15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DEVB memo ref. DEVB(W) 546/70/01 dated 8.8.2011</w:t>
            </w:r>
          </w:p>
          <w:p w14:paraId="3EDA184D" w14:textId="56E3A75A" w:rsidR="00BE6879" w:rsidRPr="00B40B17" w:rsidRDefault="00BE6879" w:rsidP="00BA38DA">
            <w:pPr>
              <w:pStyle w:val="ae"/>
              <w:tabs>
                <w:tab w:val="left" w:pos="497"/>
                <w:tab w:val="left" w:pos="5854"/>
              </w:tabs>
              <w:spacing w:beforeLines="20" w:before="72" w:afterLines="20" w:after="72"/>
              <w:ind w:leftChars="62" w:left="511" w:rightChars="63" w:right="151" w:hangingChars="151" w:hanging="36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 w:hint="eastAsia"/>
                <w:szCs w:val="24"/>
              </w:rPr>
              <w:t xml:space="preserve">This </w:t>
            </w:r>
            <w:r w:rsidR="00F52F7B"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lause</w:t>
            </w:r>
            <w:r>
              <w:rPr>
                <w:rFonts w:ascii="Times New Roman" w:hAnsi="Times New Roman" w:hint="eastAsia"/>
                <w:szCs w:val="24"/>
              </w:rPr>
              <w:t xml:space="preserve"> shall </w:t>
            </w:r>
            <w:r w:rsidRPr="00CB4EC7">
              <w:rPr>
                <w:rFonts w:ascii="Times New Roman" w:hAnsi="Times New Roman" w:hint="eastAsia"/>
                <w:b/>
                <w:szCs w:val="24"/>
              </w:rPr>
              <w:t>only</w:t>
            </w:r>
            <w:r>
              <w:rPr>
                <w:rFonts w:ascii="Times New Roman" w:hAnsi="Times New Roman" w:hint="eastAsia"/>
                <w:szCs w:val="24"/>
              </w:rPr>
              <w:t xml:space="preserve"> be included in a works contract involving 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>
              <w:rPr>
                <w:rFonts w:ascii="Times New Roman" w:hAnsi="Times New Roman" w:hint="eastAsia"/>
                <w:szCs w:val="24"/>
              </w:rPr>
              <w:t xml:space="preserve">ontingency 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>
              <w:rPr>
                <w:rFonts w:ascii="Times New Roman" w:hAnsi="Times New Roman" w:hint="eastAsia"/>
                <w:szCs w:val="24"/>
              </w:rPr>
              <w:t>um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>
              <w:rPr>
                <w:rFonts w:ascii="Times New Roman" w:hAnsi="Times New Roman" w:hint="eastAsia"/>
                <w:szCs w:val="24"/>
              </w:rPr>
              <w:t xml:space="preserve"> if an officer at D2 rank</w:t>
            </w:r>
            <w:r w:rsidR="00ED5C0A">
              <w:rPr>
                <w:rFonts w:ascii="Times New Roman" w:hAnsi="Times New Roman" w:hint="eastAsia"/>
                <w:szCs w:val="24"/>
              </w:rPr>
              <w:t xml:space="preserve"> or above in the project o</w:t>
            </w:r>
            <w:r w:rsidR="00B13099">
              <w:rPr>
                <w:rFonts w:ascii="Times New Roman" w:hAnsi="Times New Roman" w:hint="eastAsia"/>
                <w:szCs w:val="24"/>
              </w:rPr>
              <w:t>ffice</w:t>
            </w:r>
            <w:r>
              <w:rPr>
                <w:rFonts w:ascii="Times New Roman" w:hAnsi="Times New Roman" w:hint="eastAsia"/>
                <w:szCs w:val="24"/>
              </w:rPr>
              <w:t xml:space="preserve"> is satisfied that the following adoption criterion is met:</w:t>
            </w:r>
          </w:p>
          <w:p w14:paraId="4FE3124C" w14:textId="77777777" w:rsidR="00BE6879" w:rsidRDefault="00BE6879" w:rsidP="00BE6879">
            <w:pPr>
              <w:pStyle w:val="ae"/>
              <w:numPr>
                <w:ilvl w:val="1"/>
                <w:numId w:val="36"/>
              </w:numPr>
              <w:tabs>
                <w:tab w:val="clear" w:pos="1209"/>
                <w:tab w:val="left" w:pos="497"/>
              </w:tabs>
              <w:spacing w:beforeLines="20" w:before="72" w:afterLines="20" w:after="72"/>
              <w:ind w:leftChars="212" w:left="689" w:rightChars="63" w:right="151" w:hangingChars="75" w:hanging="18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The contract is identified in the risk assessment at the pre-tender stage to have highly uncertain risk factors that could lead to an over-estimation of the allowance made in </w:t>
            </w:r>
            <w:r>
              <w:rPr>
                <w:rFonts w:ascii="Times New Roman" w:hAnsi="Times New Roman"/>
                <w:szCs w:val="24"/>
              </w:rPr>
              <w:t>the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 w:rsidRPr="00B85573">
              <w:rPr>
                <w:rFonts w:ascii="Times New Roman" w:hAnsi="Times New Roman" w:hint="eastAsia"/>
                <w:szCs w:val="24"/>
              </w:rPr>
              <w:t xml:space="preserve">ontingency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B85573">
              <w:rPr>
                <w:rFonts w:ascii="Times New Roman" w:hAnsi="Times New Roman" w:hint="eastAsia"/>
                <w:szCs w:val="24"/>
              </w:rPr>
              <w:t>um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>
              <w:rPr>
                <w:rFonts w:ascii="Times New Roman" w:hAnsi="Times New Roman" w:hint="eastAsia"/>
                <w:szCs w:val="24"/>
              </w:rPr>
              <w:t xml:space="preserve"> for covering such risks.  This finding must be properly documented in file.</w:t>
            </w:r>
          </w:p>
          <w:p w14:paraId="5541BCA8" w14:textId="74B0A59F" w:rsidR="00BE6879" w:rsidRDefault="00BE6879" w:rsidP="00BA38DA">
            <w:pPr>
              <w:pStyle w:val="ae"/>
              <w:tabs>
                <w:tab w:val="left" w:pos="497"/>
                <w:tab w:val="left" w:pos="5854"/>
              </w:tabs>
              <w:spacing w:beforeLines="20" w:before="72" w:afterLines="20" w:after="72"/>
              <w:ind w:leftChars="62" w:left="511" w:rightChars="63" w:right="151" w:hangingChars="151" w:hanging="36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 w:hint="eastAsia"/>
                <w:szCs w:val="24"/>
              </w:rPr>
              <w:t xml:space="preserve">Subject to compliance with the requirements given in paragraph 3 below, this </w:t>
            </w:r>
            <w:r w:rsidR="00F52F7B"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lause</w:t>
            </w:r>
            <w:r w:rsidR="00ED5C0A">
              <w:rPr>
                <w:rFonts w:ascii="Times New Roman" w:hAnsi="Times New Roman" w:hint="eastAsia"/>
                <w:szCs w:val="24"/>
              </w:rPr>
              <w:t xml:space="preserve"> enables the project o</w:t>
            </w:r>
            <w:r>
              <w:rPr>
                <w:rFonts w:ascii="Times New Roman" w:hAnsi="Times New Roman" w:hint="eastAsia"/>
                <w:szCs w:val="24"/>
              </w:rPr>
              <w:t xml:space="preserve">ffice, in case the original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forecast total of the Prices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 of the recommended tender exceeds the funding allowed for the contract in the Approved Project Estimate, to unilaterally reduce the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 w:rsidRPr="00B85573">
              <w:rPr>
                <w:rFonts w:ascii="Times New Roman" w:hAnsi="Times New Roman" w:hint="eastAsia"/>
                <w:szCs w:val="24"/>
              </w:rPr>
              <w:t xml:space="preserve">ontingency 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2E199D">
              <w:rPr>
                <w:rFonts w:ascii="Times New Roman" w:hAnsi="Times New Roman" w:hint="eastAsia"/>
                <w:szCs w:val="24"/>
              </w:rPr>
              <w:t>um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39127E">
              <w:rPr>
                <w:rFonts w:ascii="Times New Roman" w:hAnsi="Times New Roman" w:hint="eastAsia"/>
                <w:szCs w:val="24"/>
              </w:rPr>
              <w:t xml:space="preserve"> stated in the tender documents and con</w:t>
            </w:r>
            <w:r w:rsidRPr="00C76088">
              <w:rPr>
                <w:rFonts w:ascii="Times New Roman" w:hAnsi="Times New Roman" w:hint="eastAsia"/>
                <w:szCs w:val="24"/>
              </w:rPr>
              <w:t xml:space="preserve">sequentially the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forecast total of the Prices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 without the need for tender negotiati</w:t>
            </w:r>
            <w:r w:rsidR="00ED5C0A">
              <w:rPr>
                <w:rFonts w:ascii="Times New Roman" w:hAnsi="Times New Roman" w:hint="eastAsia"/>
                <w:szCs w:val="24"/>
              </w:rPr>
              <w:t>on.  The project o</w:t>
            </w:r>
            <w:r w:rsidRPr="002B5541">
              <w:rPr>
                <w:rFonts w:ascii="Times New Roman" w:hAnsi="Times New Roman" w:hint="eastAsia"/>
                <w:szCs w:val="24"/>
              </w:rPr>
              <w:t>ffice</w:t>
            </w:r>
            <w:r w:rsidRPr="006A2904">
              <w:rPr>
                <w:rFonts w:ascii="Times New Roman" w:hAnsi="Times New Roman" w:hint="eastAsia"/>
                <w:szCs w:val="24"/>
              </w:rPr>
              <w:t xml:space="preserve"> can then under properly justified circumstances:</w:t>
            </w:r>
          </w:p>
          <w:p w14:paraId="55EF6B12" w14:textId="77777777" w:rsidR="00BE6879" w:rsidRDefault="00BE6879" w:rsidP="00BA38DA">
            <w:pPr>
              <w:pStyle w:val="ae"/>
              <w:tabs>
                <w:tab w:val="left" w:pos="497"/>
                <w:tab w:val="left" w:pos="5854"/>
              </w:tabs>
              <w:spacing w:beforeLines="20" w:before="72" w:afterLines="20" w:after="72"/>
              <w:ind w:leftChars="62" w:left="511" w:rightChars="63" w:right="151" w:hangingChars="151" w:hanging="36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375C59">
              <w:rPr>
                <w:rFonts w:ascii="Times New Roman" w:hAnsi="Times New Roman" w:hint="eastAsia"/>
                <w:szCs w:val="24"/>
              </w:rPr>
              <w:t>(</w:t>
            </w:r>
            <w:proofErr w:type="spellStart"/>
            <w:r w:rsidRPr="00375C59">
              <w:rPr>
                <w:rFonts w:ascii="Times New Roman" w:hAnsi="Times New Roman" w:hint="eastAsia"/>
                <w:szCs w:val="24"/>
              </w:rPr>
              <w:t>i</w:t>
            </w:r>
            <w:proofErr w:type="spellEnd"/>
            <w:r w:rsidRPr="00375C59">
              <w:rPr>
                <w:rFonts w:ascii="Times New Roman" w:hAnsi="Times New Roman" w:hint="eastAsia"/>
                <w:szCs w:val="24"/>
              </w:rPr>
              <w:t>)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keep the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forecast total of the Prices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 of the recommended tender within the </w:t>
            </w:r>
            <w:r w:rsidRPr="002B5541">
              <w:rPr>
                <w:rFonts w:ascii="Times New Roman" w:hAnsi="Times New Roman" w:hint="eastAsia"/>
                <w:szCs w:val="24"/>
              </w:rPr>
              <w:lastRenderedPageBreak/>
              <w:t>funding available and, su</w:t>
            </w:r>
            <w:r w:rsidRPr="006A2904">
              <w:rPr>
                <w:rFonts w:ascii="Times New Roman" w:hAnsi="Times New Roman" w:hint="eastAsia"/>
                <w:szCs w:val="24"/>
              </w:rPr>
              <w:t>bject to app</w:t>
            </w:r>
            <w:r>
              <w:rPr>
                <w:rFonts w:ascii="Times New Roman" w:hAnsi="Times New Roman" w:hint="eastAsia"/>
                <w:szCs w:val="24"/>
              </w:rPr>
              <w:t>roval by the relevant tender board, accept the tender without the need to seek additional funding</w:t>
            </w:r>
            <w:r w:rsidRPr="00375C59">
              <w:rPr>
                <w:rFonts w:ascii="Times New Roman" w:hAnsi="Times New Roman" w:hint="eastAsia"/>
                <w:szCs w:val="24"/>
              </w:rPr>
              <w:t>; or</w:t>
            </w:r>
          </w:p>
          <w:p w14:paraId="5CEB7CE9" w14:textId="77777777" w:rsidR="00BE6879" w:rsidRDefault="00BE6879" w:rsidP="00BA38DA">
            <w:pPr>
              <w:pStyle w:val="ae"/>
              <w:tabs>
                <w:tab w:val="left" w:pos="497"/>
                <w:tab w:val="left" w:pos="5730"/>
              </w:tabs>
              <w:spacing w:beforeLines="20" w:before="72" w:afterLines="20" w:after="72"/>
              <w:ind w:leftChars="62" w:left="511" w:rightChars="63" w:right="151" w:hangingChars="151" w:hanging="36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375C59">
              <w:rPr>
                <w:rFonts w:ascii="Times New Roman" w:hAnsi="Times New Roman" w:hint="eastAsia"/>
                <w:szCs w:val="24"/>
              </w:rPr>
              <w:t xml:space="preserve">(ii) 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reduce the amount of additional funding required even if after such reduction the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forecast total of the Prices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 of the recommended tender still exceeds the funding available and additional funding is still required to be</w:t>
            </w:r>
            <w:r w:rsidRPr="00375C59">
              <w:rPr>
                <w:rFonts w:ascii="Times New Roman" w:hAnsi="Times New Roman" w:hint="eastAsia"/>
                <w:szCs w:val="24"/>
              </w:rPr>
              <w:t xml:space="preserve"> sought.</w:t>
            </w:r>
          </w:p>
          <w:p w14:paraId="5123DBA6" w14:textId="7FF3EE16" w:rsidR="00BE6879" w:rsidRDefault="00BE6879" w:rsidP="00BA38DA">
            <w:pPr>
              <w:pStyle w:val="ae"/>
              <w:tabs>
                <w:tab w:val="left" w:pos="512"/>
                <w:tab w:val="left" w:pos="5854"/>
              </w:tabs>
              <w:spacing w:beforeLines="20" w:before="72" w:afterLines="20" w:after="72"/>
              <w:ind w:leftChars="64" w:left="514" w:rightChars="63" w:right="151" w:hangingChars="150" w:hanging="3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3.</w:t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 w:hint="eastAsia"/>
                <w:szCs w:val="24"/>
              </w:rPr>
              <w:t xml:space="preserve">In order to exercise this </w:t>
            </w:r>
            <w:r w:rsidR="00F52F7B"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lause</w:t>
            </w:r>
            <w:r w:rsidR="00ED5C0A">
              <w:rPr>
                <w:rFonts w:ascii="Times New Roman" w:hAnsi="Times New Roman" w:hint="eastAsia"/>
                <w:szCs w:val="24"/>
              </w:rPr>
              <w:t>, the project o</w:t>
            </w:r>
            <w:r>
              <w:rPr>
                <w:rFonts w:ascii="Times New Roman" w:hAnsi="Times New Roman" w:hint="eastAsia"/>
                <w:szCs w:val="24"/>
              </w:rPr>
              <w:t>ffice shall have:</w:t>
            </w:r>
          </w:p>
          <w:p w14:paraId="67AE4372" w14:textId="77777777" w:rsidR="00BE6879" w:rsidRDefault="00BE6879" w:rsidP="00BA38DA">
            <w:pPr>
              <w:pStyle w:val="ae"/>
              <w:tabs>
                <w:tab w:val="left" w:pos="1052"/>
                <w:tab w:val="left" w:pos="5854"/>
              </w:tabs>
              <w:spacing w:beforeLines="20" w:before="72" w:afterLines="20" w:after="72"/>
              <w:ind w:leftChars="213" w:left="1051" w:rightChars="63" w:right="151" w:hangingChars="225" w:hanging="5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(a)</w:t>
            </w:r>
            <w:r>
              <w:rPr>
                <w:rFonts w:ascii="Times New Roman" w:hAnsi="Times New Roman"/>
                <w:szCs w:val="24"/>
              </w:rPr>
              <w:tab/>
            </w:r>
            <w:r w:rsidRPr="009764AF">
              <w:rPr>
                <w:rFonts w:ascii="Times New Roman" w:hAnsi="Times New Roman" w:hint="eastAsia"/>
                <w:szCs w:val="24"/>
              </w:rPr>
              <w:t xml:space="preserve">reviewed the risk assessment made at the pre-tender stage in arriving at the original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 w:rsidRPr="00B85573">
              <w:rPr>
                <w:rFonts w:ascii="Times New Roman" w:hAnsi="Times New Roman" w:hint="eastAsia"/>
                <w:szCs w:val="24"/>
              </w:rPr>
              <w:t xml:space="preserve">ontingency 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2E199D">
              <w:rPr>
                <w:rFonts w:ascii="Times New Roman" w:hAnsi="Times New Roman" w:hint="eastAsia"/>
                <w:szCs w:val="24"/>
              </w:rPr>
              <w:t>um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9764AF">
              <w:rPr>
                <w:rFonts w:ascii="Times New Roman" w:hAnsi="Times New Roman" w:hint="eastAsia"/>
                <w:szCs w:val="24"/>
              </w:rPr>
              <w:t>;</w:t>
            </w:r>
          </w:p>
          <w:p w14:paraId="235E6BF2" w14:textId="77777777" w:rsidR="00BE6879" w:rsidRDefault="00BE6879" w:rsidP="00BA38DA">
            <w:pPr>
              <w:pStyle w:val="ae"/>
              <w:tabs>
                <w:tab w:val="left" w:pos="1052"/>
                <w:tab w:val="left" w:pos="5854"/>
              </w:tabs>
              <w:spacing w:beforeLines="20" w:before="72" w:afterLines="20" w:after="72"/>
              <w:ind w:leftChars="213" w:left="1051" w:rightChars="63" w:right="151" w:hangingChars="225" w:hanging="5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(b)</w:t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 w:hint="eastAsia"/>
                <w:szCs w:val="24"/>
              </w:rPr>
              <w:t xml:space="preserve">proper justifications that the amount of reduction is genuinely an excessive allowance in the original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 w:rsidRPr="00B85573">
              <w:rPr>
                <w:rFonts w:ascii="Times New Roman" w:hAnsi="Times New Roman" w:hint="eastAsia"/>
                <w:szCs w:val="24"/>
              </w:rPr>
              <w:t xml:space="preserve">ontingency 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2E199D">
              <w:rPr>
                <w:rFonts w:ascii="Times New Roman" w:hAnsi="Times New Roman" w:hint="eastAsia"/>
                <w:szCs w:val="24"/>
              </w:rPr>
              <w:t>um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>
              <w:rPr>
                <w:rFonts w:ascii="Times New Roman" w:hAnsi="Times New Roman" w:hint="eastAsia"/>
                <w:szCs w:val="24"/>
              </w:rPr>
              <w:t>; and</w:t>
            </w:r>
          </w:p>
          <w:p w14:paraId="785FDC3B" w14:textId="77777777" w:rsidR="00BE6879" w:rsidRDefault="00BE6879" w:rsidP="00BA38DA">
            <w:pPr>
              <w:pStyle w:val="ae"/>
              <w:tabs>
                <w:tab w:val="left" w:pos="1052"/>
                <w:tab w:val="left" w:pos="5854"/>
              </w:tabs>
              <w:spacing w:beforeLines="20" w:before="72" w:afterLines="20" w:after="72"/>
              <w:ind w:leftChars="213" w:left="1051" w:rightChars="63" w:right="151" w:hangingChars="225" w:hanging="5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(c)</w:t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 w:hint="eastAsia"/>
                <w:szCs w:val="24"/>
              </w:rPr>
              <w:t>obtained approval of the Vote Controller.</w:t>
            </w:r>
          </w:p>
          <w:p w14:paraId="1090C1EA" w14:textId="32816EE6" w:rsidR="00BE6879" w:rsidRPr="0014500A" w:rsidRDefault="00BE6879" w:rsidP="00BA38DA">
            <w:pPr>
              <w:pStyle w:val="ae"/>
              <w:tabs>
                <w:tab w:val="left" w:pos="497"/>
                <w:tab w:val="left" w:pos="5854"/>
              </w:tabs>
              <w:spacing w:beforeLines="20" w:before="72" w:afterLines="20" w:after="72"/>
              <w:ind w:leftChars="62" w:left="511" w:rightChars="63" w:right="151" w:hangingChars="151" w:hanging="36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ab/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In conjunction with the use of this </w:t>
            </w:r>
            <w:r w:rsidR="00F52F7B"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 w:rsidRPr="001F726B">
              <w:rPr>
                <w:rFonts w:ascii="Times New Roman" w:hAnsi="Times New Roman" w:hint="eastAsia"/>
                <w:szCs w:val="24"/>
                <w:lang w:eastAsia="zh-HK"/>
              </w:rPr>
              <w:t>lause</w:t>
            </w:r>
            <w:r w:rsidRPr="001F726B">
              <w:rPr>
                <w:rFonts w:ascii="Times New Roman" w:hAnsi="Times New Roman" w:hint="eastAsia"/>
                <w:szCs w:val="24"/>
              </w:rPr>
              <w:t xml:space="preserve">, the Form of Tender and the Letter of Acceptance to Successful Tenderer shall be modified as provided in the memo </w:t>
            </w:r>
            <w:r w:rsidRPr="002B5541">
              <w:rPr>
                <w:rFonts w:ascii="Times New Roman" w:hAnsi="Times New Roman" w:hint="eastAsia"/>
                <w:szCs w:val="24"/>
              </w:rPr>
              <w:t xml:space="preserve">ref. DEVB(W) 546/70/01 </w:t>
            </w:r>
            <w:r w:rsidRPr="00C93961">
              <w:rPr>
                <w:rFonts w:ascii="Times New Roman" w:hAnsi="Times New Roman" w:hint="eastAsia"/>
                <w:szCs w:val="24"/>
              </w:rPr>
              <w:t>of 8 August 2011</w:t>
            </w:r>
            <w:r w:rsidR="00F52F7B">
              <w:rPr>
                <w:rFonts w:ascii="Times New Roman" w:hAnsi="Times New Roman" w:hint="eastAsia"/>
                <w:szCs w:val="24"/>
                <w:lang w:eastAsia="zh-HK"/>
              </w:rPr>
              <w:t xml:space="preserve"> promulgating this c</w:t>
            </w:r>
            <w:r w:rsidRPr="002B5541">
              <w:rPr>
                <w:rFonts w:ascii="Times New Roman" w:hAnsi="Times New Roman" w:hint="eastAsia"/>
                <w:szCs w:val="24"/>
                <w:lang w:eastAsia="zh-HK"/>
              </w:rPr>
              <w:t>lause</w:t>
            </w:r>
            <w:r w:rsidRPr="002B5541">
              <w:rPr>
                <w:rFonts w:ascii="Times New Roman" w:hAnsi="Times New Roman" w:hint="eastAsia"/>
                <w:szCs w:val="24"/>
              </w:rPr>
              <w:t>.  Sample letter notifying</w:t>
            </w:r>
            <w:r w:rsidRPr="006A2904">
              <w:rPr>
                <w:rFonts w:ascii="Times New Roman" w:hAnsi="Times New Roman" w:hint="eastAsia"/>
                <w:szCs w:val="24"/>
              </w:rPr>
              <w:t xml:space="preserve"> the tenderer (whose tender is goin</w:t>
            </w:r>
            <w:r w:rsidRPr="001F726B">
              <w:rPr>
                <w:rFonts w:ascii="Times New Roman" w:hAnsi="Times New Roman" w:hint="eastAsia"/>
                <w:szCs w:val="24"/>
              </w:rPr>
              <w:t xml:space="preserve">g to be recommended for contract award) of the reduction of </w:t>
            </w:r>
            <w:r w:rsidRPr="001F726B">
              <w:rPr>
                <w:rFonts w:ascii="Times New Roman" w:hAnsi="Times New Roman" w:hint="eastAsia"/>
                <w:szCs w:val="24"/>
              </w:rPr>
              <w:lastRenderedPageBreak/>
              <w:t>th</w:t>
            </w:r>
            <w:r>
              <w:rPr>
                <w:rFonts w:ascii="Times New Roman" w:hAnsi="Times New Roman" w:hint="eastAsia"/>
                <w:szCs w:val="24"/>
              </w:rPr>
              <w:t xml:space="preserve">e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c</w:t>
            </w:r>
            <w:r w:rsidRPr="00B85573">
              <w:rPr>
                <w:rFonts w:ascii="Times New Roman" w:hAnsi="Times New Roman" w:hint="eastAsia"/>
                <w:szCs w:val="24"/>
              </w:rPr>
              <w:t xml:space="preserve">ontingency </w:t>
            </w:r>
            <w:r w:rsidRPr="00B85573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 w:rsidRPr="002E199D">
              <w:rPr>
                <w:rFonts w:ascii="Times New Roman" w:hAnsi="Times New Roman" w:hint="eastAsia"/>
                <w:szCs w:val="24"/>
              </w:rPr>
              <w:t>um</w:t>
            </w:r>
            <w:r w:rsidRPr="002E199D">
              <w:rPr>
                <w:rFonts w:ascii="Times New Roman" w:hAnsi="Times New Roman" w:hint="eastAsia"/>
                <w:szCs w:val="24"/>
                <w:lang w:eastAsia="zh-HK"/>
              </w:rPr>
              <w:t>s</w:t>
            </w:r>
            <w:r>
              <w:rPr>
                <w:rFonts w:ascii="Times New Roman" w:hAnsi="Times New Roman" w:hint="eastAsia"/>
                <w:szCs w:val="24"/>
              </w:rPr>
              <w:t xml:space="preserve"> is also provided in the said memo.</w:t>
            </w:r>
          </w:p>
          <w:p w14:paraId="1C6BF8DD" w14:textId="2CD0E6F1" w:rsidR="00BE6879" w:rsidRPr="009B51FF" w:rsidRDefault="00BE6879" w:rsidP="00BA38DA">
            <w:pPr>
              <w:tabs>
                <w:tab w:val="left" w:pos="497"/>
              </w:tabs>
              <w:spacing w:beforeLines="20" w:before="72" w:afterLines="20" w:after="72"/>
              <w:ind w:leftChars="62" w:left="540" w:rightChars="63" w:right="151" w:hangingChars="163" w:hanging="391"/>
              <w:jc w:val="both"/>
            </w:pPr>
            <w:r w:rsidRPr="00375C59">
              <w:rPr>
                <w:rFonts w:hint="eastAsia"/>
              </w:rPr>
              <w:t>5.</w:t>
            </w:r>
            <w:r w:rsidRPr="00375C59">
              <w:tab/>
            </w:r>
            <w:r w:rsidRPr="00375C59">
              <w:rPr>
                <w:rFonts w:hint="eastAsia"/>
              </w:rPr>
              <w:t xml:space="preserve">This </w:t>
            </w:r>
            <w:r w:rsidR="00F52F7B"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lang w:eastAsia="zh-HK"/>
              </w:rPr>
              <w:t>lause</w:t>
            </w:r>
            <w:r w:rsidRPr="00375C59">
              <w:rPr>
                <w:rFonts w:hint="eastAsia"/>
              </w:rPr>
              <w:t xml:space="preserve"> is for use in works contracts other than design and build (D&amp;B) contracts. A GCT is separately provided for D&amp;B contracts in the memo mentioned in paragraph 4 above.</w:t>
            </w:r>
          </w:p>
          <w:p w14:paraId="5956311E" w14:textId="33CB20A1" w:rsidR="00BE6879" w:rsidRDefault="00BE6879" w:rsidP="00CB2DB9">
            <w:pPr>
              <w:tabs>
                <w:tab w:val="left" w:pos="497"/>
              </w:tabs>
              <w:spacing w:beforeLines="20" w:before="72" w:afterLines="20" w:after="72"/>
              <w:ind w:left="509" w:rightChars="63" w:right="151"/>
              <w:jc w:val="both"/>
              <w:rPr>
                <w:i/>
              </w:rPr>
            </w:pPr>
            <w:r w:rsidRPr="0090728A">
              <w:rPr>
                <w:i/>
              </w:rPr>
              <w:t>.</w:t>
            </w:r>
          </w:p>
          <w:p w14:paraId="5DA9A3EE" w14:textId="3E577D1F" w:rsidR="00BE6879" w:rsidRPr="003E3907" w:rsidRDefault="00BE6879" w:rsidP="00BA38DA">
            <w:pPr>
              <w:tabs>
                <w:tab w:val="left" w:pos="497"/>
              </w:tabs>
              <w:spacing w:beforeLines="20" w:before="72" w:afterLines="50" w:after="180"/>
              <w:ind w:leftChars="62" w:left="451" w:rightChars="63" w:right="151" w:hangingChars="126" w:hanging="302"/>
              <w:jc w:val="both"/>
              <w:rPr>
                <w:color w:val="0000FF"/>
              </w:rPr>
            </w:pPr>
            <w:r w:rsidRPr="00CB2DB9">
              <w:rPr>
                <w:rFonts w:hint="eastAsia"/>
                <w:color w:val="0000FF"/>
              </w:rPr>
              <w:t>*</w:t>
            </w:r>
            <w:r w:rsidRPr="003E3907">
              <w:rPr>
                <w:color w:val="0000FF"/>
              </w:rPr>
              <w:tab/>
            </w:r>
            <w:r w:rsidR="00CB27B9">
              <w:rPr>
                <w:rFonts w:hint="eastAsia"/>
                <w:color w:val="0000FF"/>
              </w:rPr>
              <w:t>Delete as appropriate</w:t>
            </w:r>
          </w:p>
          <w:p w14:paraId="5002B980" w14:textId="56222EE1" w:rsidR="00BE6879" w:rsidRPr="003E3907" w:rsidRDefault="00CB2DB9" w:rsidP="00CB2DB9">
            <w:pPr>
              <w:tabs>
                <w:tab w:val="left" w:pos="454"/>
                <w:tab w:val="left" w:pos="497"/>
              </w:tabs>
              <w:spacing w:beforeLines="20" w:before="72" w:afterLines="50" w:after="180"/>
              <w:ind w:leftChars="62" w:left="451" w:rightChars="63" w:right="151" w:hangingChars="126" w:hanging="302"/>
              <w:jc w:val="both"/>
              <w:rPr>
                <w:i/>
                <w:color w:val="0000FF"/>
                <w:lang w:eastAsia="zh-HK"/>
              </w:rPr>
            </w:pPr>
            <w:r>
              <w:rPr>
                <w:rFonts w:hint="eastAsia"/>
                <w:color w:val="0000FF"/>
              </w:rPr>
              <w:t>#</w:t>
            </w:r>
            <w:r w:rsidR="00BE6879" w:rsidRPr="003E3907">
              <w:rPr>
                <w:color w:val="0000FF"/>
              </w:rPr>
              <w:tab/>
            </w:r>
            <w:r>
              <w:rPr>
                <w:color w:val="0000FF"/>
              </w:rPr>
              <w:t>Insert</w:t>
            </w:r>
            <w:r w:rsidRPr="003E3907">
              <w:rPr>
                <w:rFonts w:hint="eastAsia"/>
                <w:color w:val="0000FF"/>
              </w:rPr>
              <w:t xml:space="preserve"> as appropriate</w:t>
            </w:r>
          </w:p>
        </w:tc>
      </w:tr>
      <w:tr w:rsidR="00BE6879" w14:paraId="33FE1792" w14:textId="77777777" w:rsidTr="00BA38DA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151A87F5" w14:textId="77777777" w:rsidR="00BE6879" w:rsidRDefault="00BE6879" w:rsidP="00BA38D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(2)</w:t>
            </w:r>
          </w:p>
        </w:tc>
        <w:tc>
          <w:tcPr>
            <w:tcW w:w="4651" w:type="dxa"/>
            <w:vMerge w:val="restart"/>
            <w:tcBorders>
              <w:top w:val="nil"/>
              <w:left w:val="nil"/>
            </w:tcBorders>
          </w:tcPr>
          <w:p w14:paraId="35DE873D" w14:textId="699A119A" w:rsidR="00BE6879" w:rsidRPr="00C12E2F" w:rsidRDefault="00BE6879" w:rsidP="00BA38DA">
            <w:pPr>
              <w:pStyle w:val="a9"/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C12E2F">
              <w:rPr>
                <w:rFonts w:hint="eastAsia"/>
                <w:b w:val="0"/>
                <w:sz w:val="24"/>
              </w:rPr>
              <w:t xml:space="preserve">By submitting </w:t>
            </w:r>
            <w:r w:rsidR="0097728A" w:rsidRPr="00212F9D">
              <w:rPr>
                <w:b w:val="0"/>
                <w:color w:val="auto"/>
                <w:sz w:val="24"/>
              </w:rPr>
              <w:t>its</w:t>
            </w:r>
            <w:r w:rsidR="0097728A" w:rsidRPr="00C12E2F">
              <w:rPr>
                <w:rFonts w:hint="eastAsia"/>
                <w:b w:val="0"/>
                <w:sz w:val="24"/>
              </w:rPr>
              <w:t xml:space="preserve"> </w:t>
            </w:r>
            <w:r w:rsidRPr="00C12E2F">
              <w:rPr>
                <w:rFonts w:hint="eastAsia"/>
                <w:b w:val="0"/>
                <w:sz w:val="24"/>
              </w:rPr>
              <w:t>tender, a tenderer shall be deemed to have agreed that upon receipt by the tenderer of a notification in writing refe</w:t>
            </w:r>
            <w:r w:rsidR="00F52F7B">
              <w:rPr>
                <w:rFonts w:hint="eastAsia"/>
                <w:b w:val="0"/>
                <w:sz w:val="24"/>
              </w:rPr>
              <w:t>rred to sub-clause (1) of this c</w:t>
            </w:r>
            <w:r w:rsidRPr="00C12E2F">
              <w:rPr>
                <w:rFonts w:hint="eastAsia"/>
                <w:b w:val="0"/>
                <w:sz w:val="24"/>
              </w:rPr>
              <w:t>lause:</w:t>
            </w:r>
          </w:p>
          <w:p w14:paraId="34F702B5" w14:textId="04C491BE" w:rsidR="00BE6879" w:rsidRPr="00C12E2F" w:rsidRDefault="00BE6879" w:rsidP="00BE6879">
            <w:pPr>
              <w:numPr>
                <w:ilvl w:val="0"/>
                <w:numId w:val="37"/>
              </w:numPr>
              <w:tabs>
                <w:tab w:val="clear" w:pos="375"/>
                <w:tab w:val="left" w:pos="493"/>
              </w:tabs>
              <w:spacing w:beforeLines="20" w:before="72" w:afterLines="20" w:after="72"/>
              <w:ind w:leftChars="-1" w:left="492" w:rightChars="63" w:right="151" w:hangingChars="206" w:hanging="494"/>
              <w:jc w:val="both"/>
            </w:pPr>
            <w:r w:rsidRPr="00C12E2F">
              <w:rPr>
                <w:rFonts w:hint="eastAsia"/>
              </w:rPr>
              <w:t xml:space="preserve">the amount of the </w:t>
            </w:r>
            <w:r w:rsidRPr="00B85573">
              <w:rPr>
                <w:rFonts w:hint="eastAsia"/>
                <w:lang w:eastAsia="zh-HK"/>
              </w:rPr>
              <w:t>c</w:t>
            </w:r>
            <w:r w:rsidRPr="00B85573">
              <w:rPr>
                <w:rFonts w:hint="eastAsia"/>
              </w:rPr>
              <w:t xml:space="preserve">ontingency </w:t>
            </w:r>
            <w:r w:rsidRPr="00B85573">
              <w:rPr>
                <w:rFonts w:hint="eastAsia"/>
                <w:lang w:eastAsia="zh-HK"/>
              </w:rPr>
              <w:t>s</w:t>
            </w:r>
            <w:r w:rsidRPr="002E199D">
              <w:rPr>
                <w:rFonts w:hint="eastAsia"/>
              </w:rPr>
              <w:t>um</w:t>
            </w:r>
            <w:r w:rsidRPr="002E199D">
              <w:rPr>
                <w:rFonts w:hint="eastAsia"/>
                <w:lang w:eastAsia="zh-HK"/>
              </w:rPr>
              <w:t>s</w:t>
            </w:r>
            <w:r w:rsidRPr="00C12E2F">
              <w:rPr>
                <w:rFonts w:hint="eastAsia"/>
              </w:rPr>
              <w:t xml:space="preserve"> as stated in </w:t>
            </w:r>
            <w:r w:rsidRPr="002E199D">
              <w:rPr>
                <w:rFonts w:hint="eastAsia"/>
                <w:lang w:eastAsia="zh-HK"/>
              </w:rPr>
              <w:t xml:space="preserve">the </w:t>
            </w:r>
            <w:bookmarkStart w:id="1" w:name="OLE_LINK1"/>
            <w:bookmarkStart w:id="2" w:name="OLE_LINK2"/>
            <w:r w:rsidRPr="002E199D">
              <w:rPr>
                <w:rFonts w:hint="eastAsia"/>
                <w:lang w:eastAsia="zh-HK"/>
              </w:rPr>
              <w:t>Grand Summary of</w:t>
            </w:r>
            <w:r>
              <w:rPr>
                <w:rFonts w:hint="eastAsia"/>
                <w:lang w:eastAsia="zh-HK"/>
              </w:rPr>
              <w:t xml:space="preserve"> the </w:t>
            </w:r>
            <w:r w:rsidR="00F9161F" w:rsidRPr="00F9161F">
              <w:rPr>
                <w:b/>
                <w:color w:val="3333FF"/>
                <w:lang w:eastAsia="zh-HK"/>
              </w:rPr>
              <w:t>*</w:t>
            </w:r>
            <w:r w:rsidR="00F9161F" w:rsidRPr="00F9161F">
              <w:rPr>
                <w:rFonts w:hint="eastAsia"/>
                <w:color w:val="3333FF"/>
              </w:rPr>
              <w:t>[</w:t>
            </w:r>
            <w:r w:rsidR="00F9161F" w:rsidRPr="00F9161F">
              <w:rPr>
                <w:rFonts w:hint="eastAsia"/>
                <w:i/>
                <w:color w:val="3333FF"/>
                <w:lang w:eastAsia="zh-HK"/>
              </w:rPr>
              <w:t>activity schedule</w:t>
            </w:r>
            <w:r w:rsidR="00F9161F" w:rsidRPr="00F9161F">
              <w:rPr>
                <w:rFonts w:hint="eastAsia"/>
                <w:color w:val="3333FF"/>
                <w:lang w:eastAsia="zh-HK"/>
              </w:rPr>
              <w:t xml:space="preserve"> /</w:t>
            </w:r>
            <w:r w:rsidR="00E92DFB">
              <w:rPr>
                <w:color w:val="3333FF"/>
                <w:lang w:eastAsia="zh-HK"/>
              </w:rPr>
              <w:t xml:space="preserve"> </w:t>
            </w:r>
            <w:r w:rsidR="00F9161F" w:rsidRPr="00F9161F">
              <w:rPr>
                <w:rFonts w:hint="eastAsia"/>
                <w:i/>
                <w:color w:val="3333FF"/>
                <w:lang w:eastAsia="zh-HK"/>
              </w:rPr>
              <w:t>b</w:t>
            </w:r>
            <w:r w:rsidR="00F9161F" w:rsidRPr="00F9161F">
              <w:rPr>
                <w:rFonts w:hint="eastAsia"/>
                <w:i/>
                <w:color w:val="3333FF"/>
              </w:rPr>
              <w:t xml:space="preserve">ill of </w:t>
            </w:r>
            <w:r w:rsidR="00F9161F" w:rsidRPr="00F9161F">
              <w:rPr>
                <w:rFonts w:hint="eastAsia"/>
                <w:i/>
                <w:color w:val="3333FF"/>
                <w:lang w:eastAsia="zh-HK"/>
              </w:rPr>
              <w:t>q</w:t>
            </w:r>
            <w:r w:rsidR="00F9161F" w:rsidRPr="00F9161F">
              <w:rPr>
                <w:rFonts w:hint="eastAsia"/>
                <w:i/>
                <w:color w:val="3333FF"/>
              </w:rPr>
              <w:t>uantities</w:t>
            </w:r>
            <w:r w:rsidR="00F9161F" w:rsidRPr="00F9161F">
              <w:rPr>
                <w:rFonts w:hint="eastAsia"/>
                <w:color w:val="3333FF"/>
              </w:rPr>
              <w:t>]</w:t>
            </w:r>
            <w:bookmarkEnd w:id="1"/>
            <w:bookmarkEnd w:id="2"/>
            <w:r w:rsidR="00532477" w:rsidRPr="00C12E2F">
              <w:rPr>
                <w:rFonts w:hint="eastAsia"/>
              </w:rPr>
              <w:t xml:space="preserve"> </w:t>
            </w:r>
            <w:r w:rsidRPr="00C12E2F">
              <w:rPr>
                <w:rFonts w:hint="eastAsia"/>
              </w:rPr>
              <w:t>shall be taken to be reduced accordingly;</w:t>
            </w:r>
            <w:r w:rsidR="00D80A9C">
              <w:t xml:space="preserve"> and</w:t>
            </w:r>
          </w:p>
          <w:p w14:paraId="032FA18A" w14:textId="7C71220F" w:rsidR="00BE6879" w:rsidRPr="002E199D" w:rsidRDefault="00BE6879" w:rsidP="00CB2DB9">
            <w:pPr>
              <w:tabs>
                <w:tab w:val="left" w:pos="493"/>
                <w:tab w:val="left" w:pos="1440"/>
              </w:tabs>
              <w:spacing w:beforeLines="20" w:before="72" w:afterLines="20" w:after="72"/>
              <w:ind w:left="492" w:rightChars="63" w:right="151" w:hangingChars="205" w:hanging="492"/>
              <w:jc w:val="both"/>
              <w:rPr>
                <w:b/>
                <w:color w:val="833C0B"/>
              </w:rPr>
            </w:pPr>
            <w:r w:rsidRPr="00C12E2F">
              <w:rPr>
                <w:rFonts w:hint="eastAsia"/>
                <w:kern w:val="0"/>
              </w:rPr>
              <w:t>(</w:t>
            </w:r>
            <w:r w:rsidR="00B039B4">
              <w:rPr>
                <w:kern w:val="0"/>
                <w:lang w:eastAsia="zh-HK"/>
              </w:rPr>
              <w:t>b</w:t>
            </w:r>
            <w:r w:rsidRPr="00C12E2F">
              <w:rPr>
                <w:rFonts w:hint="eastAsia"/>
                <w:kern w:val="0"/>
              </w:rPr>
              <w:t>)</w:t>
            </w:r>
            <w:r w:rsidRPr="00C12E2F">
              <w:rPr>
                <w:kern w:val="0"/>
              </w:rPr>
              <w:tab/>
            </w:r>
            <w:r w:rsidRPr="00C12E2F">
              <w:rPr>
                <w:rFonts w:hint="eastAsia"/>
              </w:rPr>
              <w:t xml:space="preserve">the reduction in the amount of the </w:t>
            </w:r>
            <w:r w:rsidRPr="00B85573">
              <w:rPr>
                <w:rFonts w:hint="eastAsia"/>
                <w:lang w:eastAsia="zh-HK"/>
              </w:rPr>
              <w:t>c</w:t>
            </w:r>
            <w:r w:rsidRPr="002E199D">
              <w:rPr>
                <w:rFonts w:hint="eastAsia"/>
              </w:rPr>
              <w:t xml:space="preserve">ontingency </w:t>
            </w:r>
            <w:r w:rsidRPr="002E199D">
              <w:rPr>
                <w:rFonts w:hint="eastAsia"/>
                <w:lang w:eastAsia="zh-HK"/>
              </w:rPr>
              <w:t>s</w:t>
            </w:r>
            <w:r w:rsidRPr="002E199D">
              <w:rPr>
                <w:rFonts w:hint="eastAsia"/>
              </w:rPr>
              <w:t>um</w:t>
            </w:r>
            <w:r w:rsidRPr="002E199D">
              <w:rPr>
                <w:rFonts w:hint="eastAsia"/>
                <w:lang w:eastAsia="zh-HK"/>
              </w:rPr>
              <w:t>s</w:t>
            </w:r>
            <w:r w:rsidRPr="00C12E2F">
              <w:rPr>
                <w:rFonts w:hint="eastAsia"/>
              </w:rPr>
              <w:t xml:space="preserve"> under paragraph (a) above shall not affect </w:t>
            </w:r>
            <w:r>
              <w:rPr>
                <w:rFonts w:hint="eastAsia"/>
              </w:rPr>
              <w:t xml:space="preserve">any </w:t>
            </w:r>
            <w:r>
              <w:rPr>
                <w:rFonts w:hint="eastAsia"/>
                <w:lang w:eastAsia="zh-HK"/>
              </w:rPr>
              <w:t>p</w:t>
            </w:r>
            <w:r>
              <w:rPr>
                <w:rFonts w:hint="eastAsia"/>
              </w:rPr>
              <w:t xml:space="preserve">rovisional </w:t>
            </w:r>
            <w:r>
              <w:rPr>
                <w:rFonts w:hint="eastAsia"/>
                <w:lang w:eastAsia="zh-HK"/>
              </w:rPr>
              <w:t>s</w:t>
            </w:r>
            <w:r>
              <w:rPr>
                <w:rFonts w:hint="eastAsia"/>
              </w:rPr>
              <w:t xml:space="preserve">ums specified in </w:t>
            </w:r>
            <w:r w:rsidRPr="002E199D">
              <w:rPr>
                <w:rFonts w:hint="eastAsia"/>
                <w:lang w:eastAsia="zh-HK"/>
              </w:rPr>
              <w:t xml:space="preserve">the </w:t>
            </w:r>
            <w:r w:rsidRPr="00B85573">
              <w:rPr>
                <w:rFonts w:hint="eastAsia"/>
                <w:lang w:eastAsia="zh-HK"/>
              </w:rPr>
              <w:t>Grand Summary</w:t>
            </w:r>
            <w:r w:rsidRPr="002E199D">
              <w:rPr>
                <w:rFonts w:hint="eastAsia"/>
                <w:lang w:eastAsia="zh-HK"/>
              </w:rPr>
              <w:t xml:space="preserve"> of</w:t>
            </w:r>
            <w:r w:rsidR="007D4309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the </w:t>
            </w:r>
            <w:r w:rsidR="00F9161F" w:rsidRPr="00F9161F">
              <w:rPr>
                <w:b/>
                <w:color w:val="3333FF"/>
                <w:lang w:eastAsia="zh-HK"/>
              </w:rPr>
              <w:t>*</w:t>
            </w:r>
            <w:r w:rsidR="00F9161F" w:rsidRPr="00F9161F">
              <w:rPr>
                <w:rFonts w:hint="eastAsia"/>
                <w:color w:val="3333FF"/>
              </w:rPr>
              <w:t>[</w:t>
            </w:r>
            <w:r w:rsidR="00F9161F" w:rsidRPr="00F9161F">
              <w:rPr>
                <w:rFonts w:hint="eastAsia"/>
                <w:i/>
                <w:color w:val="3333FF"/>
                <w:lang w:eastAsia="zh-HK"/>
              </w:rPr>
              <w:t>activity schedule</w:t>
            </w:r>
            <w:r w:rsidR="00F9161F" w:rsidRPr="00F9161F">
              <w:rPr>
                <w:rFonts w:hint="eastAsia"/>
                <w:color w:val="3333FF"/>
                <w:lang w:eastAsia="zh-HK"/>
              </w:rPr>
              <w:t xml:space="preserve"> /</w:t>
            </w:r>
            <w:r w:rsidR="00E92DFB">
              <w:rPr>
                <w:color w:val="3333FF"/>
                <w:lang w:eastAsia="zh-HK"/>
              </w:rPr>
              <w:t xml:space="preserve"> </w:t>
            </w:r>
            <w:r w:rsidR="00F9161F" w:rsidRPr="00F9161F">
              <w:rPr>
                <w:rFonts w:hint="eastAsia"/>
                <w:i/>
                <w:color w:val="3333FF"/>
                <w:lang w:eastAsia="zh-HK"/>
              </w:rPr>
              <w:t>b</w:t>
            </w:r>
            <w:r w:rsidR="00F9161F" w:rsidRPr="00F9161F">
              <w:rPr>
                <w:rFonts w:hint="eastAsia"/>
                <w:i/>
                <w:color w:val="3333FF"/>
              </w:rPr>
              <w:t xml:space="preserve">ill of </w:t>
            </w:r>
            <w:r w:rsidR="00F9161F" w:rsidRPr="00F9161F">
              <w:rPr>
                <w:rFonts w:hint="eastAsia"/>
                <w:i/>
                <w:color w:val="3333FF"/>
                <w:lang w:eastAsia="zh-HK"/>
              </w:rPr>
              <w:t>q</w:t>
            </w:r>
            <w:r w:rsidR="00F9161F" w:rsidRPr="00F9161F">
              <w:rPr>
                <w:rFonts w:hint="eastAsia"/>
                <w:i/>
                <w:color w:val="3333FF"/>
              </w:rPr>
              <w:t>uantities</w:t>
            </w:r>
            <w:r w:rsidR="00F9161F" w:rsidRPr="00F9161F">
              <w:rPr>
                <w:rFonts w:hint="eastAsia"/>
                <w:color w:val="3333FF"/>
              </w:rPr>
              <w:t>]</w:t>
            </w:r>
            <w:r w:rsidR="00532477">
              <w:rPr>
                <w:rFonts w:hint="eastAsia"/>
                <w:vertAlign w:val="superscript"/>
              </w:rPr>
              <w:t xml:space="preserve"> </w:t>
            </w:r>
            <w:r w:rsidR="00471283" w:rsidRPr="002E199D">
              <w:t>.</w:t>
            </w:r>
          </w:p>
        </w:tc>
        <w:tc>
          <w:tcPr>
            <w:tcW w:w="4322" w:type="dxa"/>
            <w:vMerge/>
          </w:tcPr>
          <w:p w14:paraId="5554DF0F" w14:textId="77777777" w:rsidR="00BE6879" w:rsidRDefault="00BE6879" w:rsidP="00BA38DA">
            <w:pPr>
              <w:pStyle w:val="ae"/>
              <w:tabs>
                <w:tab w:val="left" w:pos="454"/>
              </w:tabs>
              <w:spacing w:beforeLines="20" w:before="72" w:afterLines="20" w:after="72"/>
              <w:ind w:leftChars="62" w:left="452" w:rightChars="63" w:right="151" w:hangingChars="126" w:hanging="303"/>
              <w:jc w:val="both"/>
              <w:rPr>
                <w:b/>
                <w:bCs/>
                <w:iCs/>
              </w:rPr>
            </w:pPr>
          </w:p>
        </w:tc>
      </w:tr>
      <w:tr w:rsidR="00BE6879" w:rsidRPr="00B40B17" w14:paraId="415A5B1D" w14:textId="77777777" w:rsidTr="00BA38DA">
        <w:tc>
          <w:tcPr>
            <w:tcW w:w="595" w:type="dxa"/>
            <w:tcBorders>
              <w:top w:val="nil"/>
              <w:bottom w:val="nil"/>
              <w:right w:val="nil"/>
            </w:tcBorders>
          </w:tcPr>
          <w:p w14:paraId="35DB13B5" w14:textId="77777777" w:rsidR="00BE6879" w:rsidRDefault="00BE6879" w:rsidP="00BA38D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651" w:type="dxa"/>
            <w:vMerge/>
            <w:tcBorders>
              <w:left w:val="nil"/>
              <w:bottom w:val="nil"/>
            </w:tcBorders>
          </w:tcPr>
          <w:p w14:paraId="308FCE29" w14:textId="77777777" w:rsidR="00BE6879" w:rsidRPr="00C12E2F" w:rsidRDefault="00BE6879" w:rsidP="00BA38DA">
            <w:pPr>
              <w:pStyle w:val="a9"/>
              <w:tabs>
                <w:tab w:val="clear" w:pos="0"/>
                <w:tab w:val="left" w:pos="493"/>
              </w:tabs>
              <w:spacing w:beforeLines="20" w:before="72" w:afterLines="20" w:after="72"/>
              <w:ind w:left="491" w:rightChars="63" w:right="151" w:hangingChars="210" w:hanging="49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2" w:type="dxa"/>
            <w:vMerge/>
          </w:tcPr>
          <w:p w14:paraId="17E4D8B5" w14:textId="77777777" w:rsidR="00BE6879" w:rsidRPr="00B40B17" w:rsidRDefault="00BE6879" w:rsidP="00BA38DA">
            <w:pPr>
              <w:pStyle w:val="ae"/>
              <w:tabs>
                <w:tab w:val="left" w:pos="454"/>
              </w:tabs>
              <w:spacing w:beforeLines="20" w:before="72" w:afterLines="20" w:after="72"/>
              <w:ind w:leftChars="62" w:left="451" w:rightChars="63" w:right="151" w:hangingChars="126" w:hanging="302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E6879" w14:paraId="5962D117" w14:textId="77777777" w:rsidTr="00BA38DA">
        <w:tc>
          <w:tcPr>
            <w:tcW w:w="595" w:type="dxa"/>
            <w:tcBorders>
              <w:top w:val="nil"/>
              <w:bottom w:val="single" w:sz="4" w:space="0" w:color="auto"/>
              <w:right w:val="nil"/>
            </w:tcBorders>
          </w:tcPr>
          <w:p w14:paraId="42664CB0" w14:textId="77777777" w:rsidR="00BE6879" w:rsidRDefault="00BE6879" w:rsidP="00BA38D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(3)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</w:tcBorders>
          </w:tcPr>
          <w:p w14:paraId="6998DE04" w14:textId="07456E67" w:rsidR="00BE6879" w:rsidRPr="00C12E2F" w:rsidRDefault="00BE6879" w:rsidP="00F9161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12E2F">
              <w:rPr>
                <w:rFonts w:hint="eastAsia"/>
                <w:b w:val="0"/>
                <w:sz w:val="24"/>
              </w:rPr>
              <w:t xml:space="preserve">For the avoidance of doubt, </w:t>
            </w:r>
            <w:r>
              <w:rPr>
                <w:rFonts w:hint="eastAsia"/>
                <w:b w:val="0"/>
                <w:sz w:val="24"/>
                <w:lang w:eastAsia="zh-HK"/>
              </w:rPr>
              <w:t xml:space="preserve">the original </w:t>
            </w:r>
            <w:r w:rsidRPr="00D50431">
              <w:rPr>
                <w:rFonts w:hint="eastAsia"/>
                <w:b w:val="0"/>
                <w:color w:val="auto"/>
                <w:sz w:val="24"/>
                <w:lang w:eastAsia="zh-HK"/>
              </w:rPr>
              <w:t xml:space="preserve">forecast total of the Prices taking into consideration </w:t>
            </w:r>
            <w:r w:rsidRPr="00D50431">
              <w:rPr>
                <w:rFonts w:hint="eastAsia"/>
                <w:b w:val="0"/>
                <w:color w:val="auto"/>
                <w:sz w:val="24"/>
              </w:rPr>
              <w:t>the original tender</w:t>
            </w:r>
            <w:r w:rsidRPr="00D50431">
              <w:rPr>
                <w:rFonts w:hint="eastAsia"/>
                <w:b w:val="0"/>
                <w:color w:val="auto"/>
                <w:sz w:val="24"/>
                <w:lang w:eastAsia="zh-HK"/>
              </w:rPr>
              <w:t>ed</w:t>
            </w:r>
            <w:r w:rsidRPr="00D50431">
              <w:rPr>
                <w:rFonts w:hint="eastAsia"/>
                <w:b w:val="0"/>
                <w:color w:val="auto"/>
                <w:sz w:val="24"/>
              </w:rPr>
              <w:t xml:space="preserve"> </w:t>
            </w:r>
            <w:r w:rsidRPr="00D50431">
              <w:rPr>
                <w:rFonts w:hint="eastAsia"/>
                <w:b w:val="0"/>
                <w:color w:val="auto"/>
                <w:sz w:val="24"/>
                <w:lang w:eastAsia="zh-HK"/>
              </w:rPr>
              <w:t>total of the Prices</w:t>
            </w:r>
            <w:r w:rsidRPr="00C12E2F">
              <w:rPr>
                <w:rFonts w:hint="eastAsia"/>
                <w:b w:val="0"/>
                <w:sz w:val="24"/>
              </w:rPr>
              <w:t xml:space="preserve"> as stated in the Form of Tender and </w:t>
            </w:r>
            <w:r w:rsidR="00F9161F" w:rsidRPr="00F9161F">
              <w:rPr>
                <w:b w:val="0"/>
                <w:color w:val="3333FF"/>
                <w:sz w:val="24"/>
                <w:lang w:eastAsia="zh-HK"/>
              </w:rPr>
              <w:t>*</w:t>
            </w:r>
            <w:r w:rsidR="00F9161F" w:rsidRPr="00F9161F">
              <w:rPr>
                <w:rFonts w:hint="eastAsia"/>
                <w:b w:val="0"/>
                <w:color w:val="3333FF"/>
                <w:sz w:val="24"/>
              </w:rPr>
              <w:t>[</w:t>
            </w:r>
            <w:r w:rsidR="00F9161F" w:rsidRPr="00F9161F">
              <w:rPr>
                <w:rFonts w:hint="eastAsia"/>
                <w:b w:val="0"/>
                <w:i/>
                <w:color w:val="3333FF"/>
                <w:sz w:val="24"/>
                <w:lang w:eastAsia="zh-HK"/>
              </w:rPr>
              <w:t>activity schedule</w:t>
            </w:r>
            <w:r w:rsidR="00F9161F" w:rsidRPr="00F9161F">
              <w:rPr>
                <w:rFonts w:hint="eastAsia"/>
                <w:b w:val="0"/>
                <w:color w:val="3333FF"/>
                <w:sz w:val="24"/>
                <w:lang w:eastAsia="zh-HK"/>
              </w:rPr>
              <w:t xml:space="preserve"> /</w:t>
            </w:r>
            <w:r w:rsidR="00E92DFB">
              <w:rPr>
                <w:b w:val="0"/>
                <w:color w:val="3333FF"/>
                <w:sz w:val="24"/>
                <w:lang w:eastAsia="zh-HK"/>
              </w:rPr>
              <w:t xml:space="preserve"> </w:t>
            </w:r>
            <w:r w:rsidR="00F9161F" w:rsidRPr="00F9161F">
              <w:rPr>
                <w:rFonts w:hint="eastAsia"/>
                <w:b w:val="0"/>
                <w:i/>
                <w:color w:val="3333FF"/>
                <w:sz w:val="24"/>
                <w:lang w:eastAsia="zh-HK"/>
              </w:rPr>
              <w:t>b</w:t>
            </w:r>
            <w:r w:rsidR="00F9161F" w:rsidRPr="00F9161F">
              <w:rPr>
                <w:rFonts w:hint="eastAsia"/>
                <w:b w:val="0"/>
                <w:i/>
                <w:color w:val="3333FF"/>
                <w:sz w:val="24"/>
              </w:rPr>
              <w:t xml:space="preserve">ill </w:t>
            </w:r>
            <w:r w:rsidR="00F9161F" w:rsidRPr="00F9161F">
              <w:rPr>
                <w:rFonts w:hint="eastAsia"/>
                <w:b w:val="0"/>
                <w:i/>
                <w:color w:val="3333FF"/>
                <w:sz w:val="24"/>
              </w:rPr>
              <w:lastRenderedPageBreak/>
              <w:t xml:space="preserve">of </w:t>
            </w:r>
            <w:r w:rsidR="00F9161F" w:rsidRPr="00F9161F">
              <w:rPr>
                <w:rFonts w:hint="eastAsia"/>
                <w:b w:val="0"/>
                <w:i/>
                <w:color w:val="3333FF"/>
                <w:sz w:val="24"/>
                <w:lang w:eastAsia="zh-HK"/>
              </w:rPr>
              <w:t>q</w:t>
            </w:r>
            <w:r w:rsidR="00F9161F" w:rsidRPr="00F9161F">
              <w:rPr>
                <w:rFonts w:hint="eastAsia"/>
                <w:b w:val="0"/>
                <w:i/>
                <w:color w:val="3333FF"/>
                <w:sz w:val="24"/>
              </w:rPr>
              <w:t>uantities</w:t>
            </w:r>
            <w:r w:rsidR="00F9161F" w:rsidRPr="00F9161F">
              <w:rPr>
                <w:rFonts w:hint="eastAsia"/>
                <w:b w:val="0"/>
                <w:color w:val="3333FF"/>
                <w:sz w:val="24"/>
              </w:rPr>
              <w:t>]</w:t>
            </w:r>
            <w:r w:rsidR="00F9161F" w:rsidRPr="003E3907">
              <w:rPr>
                <w:rFonts w:hint="eastAsia"/>
                <w:b w:val="0"/>
                <w:color w:val="0000FF"/>
                <w:sz w:val="24"/>
              </w:rPr>
              <w:t xml:space="preserve"> </w:t>
            </w:r>
            <w:r w:rsidRPr="00C12E2F">
              <w:rPr>
                <w:rFonts w:hint="eastAsia"/>
                <w:b w:val="0"/>
                <w:sz w:val="24"/>
              </w:rPr>
              <w:t xml:space="preserve">will, subject to correction (where applicable) in accordance with General Conditions of Tender Clause </w:t>
            </w:r>
            <w:r w:rsidR="00056171">
              <w:rPr>
                <w:b w:val="0"/>
                <w:sz w:val="24"/>
              </w:rPr>
              <w:t>GCT</w:t>
            </w:r>
            <w:r w:rsidR="009A2690">
              <w:rPr>
                <w:b w:val="0"/>
                <w:sz w:val="24"/>
              </w:rPr>
              <w:t> </w:t>
            </w:r>
            <w:r w:rsidRPr="003E3907">
              <w:rPr>
                <w:rFonts w:hint="eastAsia"/>
                <w:b w:val="0"/>
                <w:color w:val="0000FF"/>
                <w:sz w:val="24"/>
              </w:rPr>
              <w:t>[</w:t>
            </w:r>
            <w:r w:rsidR="00056171">
              <w:rPr>
                <w:rFonts w:hint="eastAsia"/>
                <w:b w:val="0"/>
                <w:color w:val="0000FF"/>
                <w:sz w:val="24"/>
              </w:rPr>
              <w:t>11</w:t>
            </w:r>
            <w:r w:rsidRPr="003E3907">
              <w:rPr>
                <w:rFonts w:hint="eastAsia"/>
                <w:b w:val="0"/>
                <w:color w:val="0000FF"/>
                <w:sz w:val="24"/>
              </w:rPr>
              <w:t>]</w:t>
            </w:r>
            <w:r w:rsidR="00CB2DB9">
              <w:rPr>
                <w:rFonts w:hint="eastAsia"/>
                <w:b w:val="0"/>
                <w:color w:val="0000FF"/>
                <w:sz w:val="24"/>
                <w:vertAlign w:val="superscript"/>
              </w:rPr>
              <w:t>#</w:t>
            </w:r>
            <w:r w:rsidRPr="00C12E2F">
              <w:rPr>
                <w:rFonts w:hint="eastAsia"/>
                <w:b w:val="0"/>
                <w:sz w:val="24"/>
              </w:rPr>
              <w:t xml:space="preserve">, be used for determination of the </w:t>
            </w:r>
            <w:r>
              <w:rPr>
                <w:rFonts w:hint="eastAsia"/>
                <w:b w:val="0"/>
                <w:sz w:val="24"/>
              </w:rPr>
              <w:t xml:space="preserve">price </w:t>
            </w:r>
            <w:r w:rsidRPr="00C12E2F">
              <w:rPr>
                <w:rFonts w:hint="eastAsia"/>
                <w:b w:val="0"/>
                <w:sz w:val="24"/>
              </w:rPr>
              <w:t>ranking</w:t>
            </w:r>
            <w:r>
              <w:rPr>
                <w:rFonts w:hint="eastAsia"/>
                <w:b w:val="0"/>
                <w:sz w:val="24"/>
              </w:rPr>
              <w:t xml:space="preserve"> or </w:t>
            </w:r>
            <w:r w:rsidRPr="00C12E2F">
              <w:rPr>
                <w:rFonts w:hint="eastAsia"/>
                <w:b w:val="0"/>
                <w:sz w:val="24"/>
              </w:rPr>
              <w:t xml:space="preserve">overall </w:t>
            </w:r>
            <w:r>
              <w:rPr>
                <w:rFonts w:hint="eastAsia"/>
                <w:b w:val="0"/>
                <w:sz w:val="24"/>
              </w:rPr>
              <w:t>marks/</w:t>
            </w:r>
            <w:r w:rsidRPr="00C12E2F">
              <w:rPr>
                <w:rFonts w:hint="eastAsia"/>
                <w:b w:val="0"/>
                <w:sz w:val="24"/>
              </w:rPr>
              <w:t xml:space="preserve">scores of the tenders in accordance with the evaluation criteria set forth in the tender documents irrespective of whether or not the </w:t>
            </w:r>
            <w:r w:rsidR="0097728A" w:rsidRPr="00212F9D">
              <w:rPr>
                <w:b w:val="0"/>
                <w:i/>
                <w:color w:val="auto"/>
                <w:sz w:val="24"/>
              </w:rPr>
              <w:t>Client</w:t>
            </w:r>
            <w:r w:rsidRPr="00C12E2F">
              <w:rPr>
                <w:rFonts w:hint="eastAsia"/>
                <w:b w:val="0"/>
                <w:sz w:val="24"/>
              </w:rPr>
              <w:t xml:space="preserve"> has subsequently exercised </w:t>
            </w:r>
            <w:r w:rsidR="0097728A" w:rsidRPr="00212F9D">
              <w:rPr>
                <w:b w:val="0"/>
                <w:color w:val="auto"/>
                <w:sz w:val="24"/>
              </w:rPr>
              <w:t>its</w:t>
            </w:r>
            <w:r w:rsidR="00F52F7B">
              <w:rPr>
                <w:rFonts w:hint="eastAsia"/>
                <w:b w:val="0"/>
                <w:sz w:val="24"/>
              </w:rPr>
              <w:t xml:space="preserve"> right under this c</w:t>
            </w:r>
            <w:r w:rsidRPr="00C12E2F">
              <w:rPr>
                <w:rFonts w:hint="eastAsia"/>
                <w:b w:val="0"/>
                <w:sz w:val="24"/>
              </w:rPr>
              <w:t xml:space="preserve">lause to reduce the amount of the </w:t>
            </w:r>
            <w:r w:rsidRPr="00D50431">
              <w:rPr>
                <w:rFonts w:hint="eastAsia"/>
                <w:b w:val="0"/>
                <w:color w:val="auto"/>
                <w:sz w:val="24"/>
              </w:rPr>
              <w:t>contingency sums</w:t>
            </w:r>
            <w:r w:rsidRPr="00C12E2F">
              <w:rPr>
                <w:rFonts w:hint="eastAsia"/>
                <w:b w:val="0"/>
                <w:sz w:val="24"/>
              </w:rPr>
              <w:t>.</w:t>
            </w:r>
          </w:p>
        </w:tc>
        <w:tc>
          <w:tcPr>
            <w:tcW w:w="4322" w:type="dxa"/>
            <w:vMerge/>
          </w:tcPr>
          <w:p w14:paraId="288A36BE" w14:textId="77777777" w:rsidR="00BE6879" w:rsidRDefault="00BE6879" w:rsidP="00BA38DA">
            <w:pPr>
              <w:pStyle w:val="a9"/>
              <w:spacing w:beforeLines="20" w:before="72" w:afterLines="20" w:after="72"/>
              <w:ind w:leftChars="63" w:left="151" w:rightChars="63" w:right="151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</w:tbl>
    <w:p w14:paraId="3EFC56CB" w14:textId="77777777" w:rsidR="00D75908" w:rsidRPr="00BE6879" w:rsidRDefault="00D75908" w:rsidP="00427391">
      <w:pPr>
        <w:spacing w:line="288" w:lineRule="auto"/>
        <w:ind w:left="360" w:right="28"/>
        <w:jc w:val="both"/>
      </w:pPr>
    </w:p>
    <w:p w14:paraId="719A71C0" w14:textId="77777777" w:rsidR="006C0CAA" w:rsidRPr="0032132B" w:rsidRDefault="006C0CAA" w:rsidP="00427391">
      <w:pPr>
        <w:spacing w:line="288" w:lineRule="auto"/>
        <w:ind w:left="360" w:right="28"/>
        <w:jc w:val="both"/>
      </w:pPr>
    </w:p>
    <w:sectPr w:rsidR="006C0CAA" w:rsidRPr="0032132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DA2A4" w14:textId="77777777" w:rsidR="00CE7C6A" w:rsidRDefault="00CE7C6A" w:rsidP="00A24422">
      <w:pPr>
        <w:pStyle w:val="ae"/>
      </w:pPr>
      <w:r>
        <w:separator/>
      </w:r>
    </w:p>
  </w:endnote>
  <w:endnote w:type="continuationSeparator" w:id="0">
    <w:p w14:paraId="46B7A5C0" w14:textId="77777777" w:rsidR="00CE7C6A" w:rsidRDefault="00CE7C6A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2DC57" w14:textId="77777777" w:rsidR="00462E23" w:rsidRPr="00ED64D8" w:rsidRDefault="00462E23">
    <w:pPr>
      <w:pStyle w:val="a6"/>
      <w:pBdr>
        <w:bottom w:val="single" w:sz="12" w:space="1" w:color="auto"/>
      </w:pBdr>
    </w:pPr>
  </w:p>
  <w:p w14:paraId="38EBBB24" w14:textId="77777777" w:rsidR="00462E23" w:rsidRPr="00ED64D8" w:rsidRDefault="00462E23">
    <w:pPr>
      <w:pStyle w:val="a6"/>
    </w:pPr>
  </w:p>
  <w:p w14:paraId="46771D22" w14:textId="01F0F8C4" w:rsidR="00462E23" w:rsidRPr="00ED64D8" w:rsidRDefault="00626235" w:rsidP="00ED64D8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ED64D8">
      <w:rPr>
        <w:rFonts w:hint="eastAsia"/>
        <w:b/>
        <w:bCs/>
        <w:iCs/>
        <w:lang w:eastAsia="zh-HK"/>
      </w:rPr>
      <w:t>Library of Standard SCT for NEC ECC</w:t>
    </w:r>
    <w:r w:rsidRPr="00ED64D8">
      <w:rPr>
        <w:b/>
        <w:bCs/>
        <w:iCs/>
      </w:rPr>
      <w:t xml:space="preserve"> </w:t>
    </w:r>
    <w:r w:rsidR="00CB2DB9" w:rsidRPr="00ED64D8">
      <w:rPr>
        <w:b/>
        <w:bCs/>
        <w:iCs/>
      </w:rPr>
      <w:t xml:space="preserve">HK Edition </w:t>
    </w:r>
    <w:r w:rsidRPr="00ED64D8">
      <w:rPr>
        <w:b/>
        <w:bCs/>
        <w:iCs/>
      </w:rPr>
      <w:t>(</w:t>
    </w:r>
    <w:r w:rsidR="0041324D">
      <w:rPr>
        <w:b/>
        <w:bCs/>
        <w:iCs/>
      </w:rPr>
      <w:t>15.11</w:t>
    </w:r>
    <w:r w:rsidR="00CB2DB9" w:rsidRPr="00ED64D8">
      <w:rPr>
        <w:b/>
        <w:bCs/>
        <w:iCs/>
        <w:lang w:eastAsia="zh-HK"/>
      </w:rPr>
      <w:t>.2023</w:t>
    </w:r>
    <w:r w:rsidRPr="00ED64D8">
      <w:rPr>
        <w:b/>
        <w:bCs/>
        <w:iCs/>
      </w:rPr>
      <w:t>)</w:t>
    </w:r>
    <w:r w:rsidR="00462E23" w:rsidRPr="00ED64D8">
      <w:rPr>
        <w:b/>
        <w:bCs/>
        <w:iCs/>
      </w:rPr>
      <w:tab/>
      <w:t>Page</w:t>
    </w:r>
    <w:r w:rsidR="000E40FD" w:rsidRPr="00ED64D8">
      <w:rPr>
        <w:b/>
        <w:bCs/>
        <w:iCs/>
      </w:rPr>
      <w:t xml:space="preserve"> SCT 15 -</w:t>
    </w:r>
    <w:r w:rsidR="00462E23" w:rsidRPr="00ED64D8">
      <w:rPr>
        <w:b/>
        <w:bCs/>
        <w:iCs/>
      </w:rPr>
      <w:t xml:space="preserve"> </w:t>
    </w:r>
    <w:r w:rsidR="00462E23" w:rsidRPr="00ED64D8">
      <w:rPr>
        <w:b/>
        <w:bCs/>
        <w:iCs/>
      </w:rPr>
      <w:fldChar w:fldCharType="begin"/>
    </w:r>
    <w:r w:rsidR="00462E23" w:rsidRPr="00ED64D8">
      <w:rPr>
        <w:b/>
        <w:bCs/>
        <w:iCs/>
      </w:rPr>
      <w:instrText xml:space="preserve"> PAGE </w:instrText>
    </w:r>
    <w:r w:rsidR="00462E23" w:rsidRPr="00ED64D8">
      <w:rPr>
        <w:b/>
        <w:bCs/>
        <w:iCs/>
      </w:rPr>
      <w:fldChar w:fldCharType="separate"/>
    </w:r>
    <w:r w:rsidR="00E47872">
      <w:rPr>
        <w:b/>
        <w:bCs/>
        <w:iCs/>
        <w:noProof/>
      </w:rPr>
      <w:t>3</w:t>
    </w:r>
    <w:r w:rsidR="00462E23" w:rsidRPr="00ED64D8">
      <w:rPr>
        <w:b/>
        <w:bCs/>
        <w:iCs/>
      </w:rPr>
      <w:fldChar w:fldCharType="end"/>
    </w:r>
    <w:r w:rsidR="00462E23" w:rsidRPr="00ED64D8">
      <w:rPr>
        <w:b/>
        <w:bCs/>
        <w:iCs/>
      </w:rPr>
      <w:t xml:space="preserve"> of </w:t>
    </w:r>
    <w:r w:rsidR="003E336A" w:rsidRPr="00ED64D8">
      <w:rPr>
        <w:b/>
        <w:bCs/>
        <w:iCs/>
      </w:rPr>
      <w:fldChar w:fldCharType="begin"/>
    </w:r>
    <w:r w:rsidR="003E336A" w:rsidRPr="00ED64D8">
      <w:rPr>
        <w:b/>
        <w:bCs/>
        <w:iCs/>
      </w:rPr>
      <w:instrText xml:space="preserve"> NUMPAGES  </w:instrText>
    </w:r>
    <w:r w:rsidR="003E336A" w:rsidRPr="00ED64D8">
      <w:rPr>
        <w:b/>
        <w:bCs/>
        <w:iCs/>
      </w:rPr>
      <w:fldChar w:fldCharType="separate"/>
    </w:r>
    <w:r w:rsidR="00E47872">
      <w:rPr>
        <w:b/>
        <w:bCs/>
        <w:iCs/>
        <w:noProof/>
      </w:rPr>
      <w:t>3</w:t>
    </w:r>
    <w:r w:rsidR="003E336A" w:rsidRPr="00ED64D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47753" w14:textId="77777777" w:rsidR="00CE7C6A" w:rsidRDefault="00CE7C6A" w:rsidP="00A24422">
      <w:pPr>
        <w:pStyle w:val="ae"/>
      </w:pPr>
      <w:r>
        <w:separator/>
      </w:r>
    </w:p>
  </w:footnote>
  <w:footnote w:type="continuationSeparator" w:id="0">
    <w:p w14:paraId="57F71E7B" w14:textId="77777777" w:rsidR="00CE7C6A" w:rsidRDefault="00CE7C6A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AC1F1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30BF29AC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66175C7"/>
    <w:multiLevelType w:val="hybridMultilevel"/>
    <w:tmpl w:val="4A8EA698"/>
    <w:lvl w:ilvl="0" w:tplc="BBB803A0">
      <w:start w:val="1"/>
      <w:numFmt w:val="lowerLetter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FC54E8F8">
      <w:start w:val="1"/>
      <w:numFmt w:val="bullet"/>
      <w:lvlText w:val="-"/>
      <w:lvlJc w:val="left"/>
      <w:pPr>
        <w:tabs>
          <w:tab w:val="num" w:pos="1209"/>
        </w:tabs>
        <w:ind w:left="1209" w:hanging="459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4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585A89"/>
    <w:multiLevelType w:val="hybridMultilevel"/>
    <w:tmpl w:val="6D3E4674"/>
    <w:lvl w:ilvl="0" w:tplc="56DEF7F0">
      <w:start w:val="1"/>
      <w:numFmt w:val="decimal"/>
      <w:lvlText w:val="%1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9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1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E27411"/>
    <w:multiLevelType w:val="hybridMultilevel"/>
    <w:tmpl w:val="605E7110"/>
    <w:lvl w:ilvl="0" w:tplc="12E8A862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6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5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6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8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8"/>
  </w:num>
  <w:num w:numId="5">
    <w:abstractNumId w:val="24"/>
  </w:num>
  <w:num w:numId="6">
    <w:abstractNumId w:val="32"/>
  </w:num>
  <w:num w:numId="7">
    <w:abstractNumId w:val="26"/>
  </w:num>
  <w:num w:numId="8">
    <w:abstractNumId w:val="21"/>
  </w:num>
  <w:num w:numId="9">
    <w:abstractNumId w:val="30"/>
  </w:num>
  <w:num w:numId="10">
    <w:abstractNumId w:val="34"/>
  </w:num>
  <w:num w:numId="11">
    <w:abstractNumId w:val="4"/>
  </w:num>
  <w:num w:numId="12">
    <w:abstractNumId w:val="33"/>
  </w:num>
  <w:num w:numId="13">
    <w:abstractNumId w:val="20"/>
  </w:num>
  <w:num w:numId="14">
    <w:abstractNumId w:val="36"/>
  </w:num>
  <w:num w:numId="15">
    <w:abstractNumId w:val="14"/>
  </w:num>
  <w:num w:numId="16">
    <w:abstractNumId w:val="19"/>
  </w:num>
  <w:num w:numId="17">
    <w:abstractNumId w:val="35"/>
  </w:num>
  <w:num w:numId="18">
    <w:abstractNumId w:val="22"/>
  </w:num>
  <w:num w:numId="19">
    <w:abstractNumId w:val="2"/>
  </w:num>
  <w:num w:numId="20">
    <w:abstractNumId w:val="31"/>
  </w:num>
  <w:num w:numId="21">
    <w:abstractNumId w:val="11"/>
  </w:num>
  <w:num w:numId="22">
    <w:abstractNumId w:val="25"/>
  </w:num>
  <w:num w:numId="23">
    <w:abstractNumId w:val="23"/>
  </w:num>
  <w:num w:numId="24">
    <w:abstractNumId w:val="5"/>
  </w:num>
  <w:num w:numId="25">
    <w:abstractNumId w:val="7"/>
  </w:num>
  <w:num w:numId="26">
    <w:abstractNumId w:val="6"/>
  </w:num>
  <w:num w:numId="27">
    <w:abstractNumId w:val="27"/>
  </w:num>
  <w:num w:numId="28">
    <w:abstractNumId w:val="10"/>
  </w:num>
  <w:num w:numId="29">
    <w:abstractNumId w:val="17"/>
  </w:num>
  <w:num w:numId="30">
    <w:abstractNumId w:val="9"/>
  </w:num>
  <w:num w:numId="31">
    <w:abstractNumId w:val="37"/>
  </w:num>
  <w:num w:numId="32">
    <w:abstractNumId w:val="28"/>
  </w:num>
  <w:num w:numId="33">
    <w:abstractNumId w:val="29"/>
  </w:num>
  <w:num w:numId="34">
    <w:abstractNumId w:val="12"/>
  </w:num>
  <w:num w:numId="35">
    <w:abstractNumId w:val="16"/>
  </w:num>
  <w:num w:numId="36">
    <w:abstractNumId w:val="3"/>
  </w:num>
  <w:num w:numId="37">
    <w:abstractNumId w:val="1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07C0"/>
    <w:rsid w:val="00052CDA"/>
    <w:rsid w:val="00054FD5"/>
    <w:rsid w:val="00056171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40F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02F8"/>
    <w:rsid w:val="00151BCB"/>
    <w:rsid w:val="0015224A"/>
    <w:rsid w:val="00165AF8"/>
    <w:rsid w:val="00170897"/>
    <w:rsid w:val="00183C1D"/>
    <w:rsid w:val="001866A6"/>
    <w:rsid w:val="00194B83"/>
    <w:rsid w:val="00196499"/>
    <w:rsid w:val="00197D40"/>
    <w:rsid w:val="001A2BD0"/>
    <w:rsid w:val="001B3A8B"/>
    <w:rsid w:val="001B4465"/>
    <w:rsid w:val="001B5CFF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1F1F8B"/>
    <w:rsid w:val="001F21FE"/>
    <w:rsid w:val="00200537"/>
    <w:rsid w:val="00201796"/>
    <w:rsid w:val="00202558"/>
    <w:rsid w:val="00210D07"/>
    <w:rsid w:val="00212504"/>
    <w:rsid w:val="00212F9D"/>
    <w:rsid w:val="00214757"/>
    <w:rsid w:val="00215E43"/>
    <w:rsid w:val="00221BA4"/>
    <w:rsid w:val="00221DE0"/>
    <w:rsid w:val="00224574"/>
    <w:rsid w:val="00224D8C"/>
    <w:rsid w:val="002303E3"/>
    <w:rsid w:val="002317CA"/>
    <w:rsid w:val="0023606F"/>
    <w:rsid w:val="00236213"/>
    <w:rsid w:val="00246FC8"/>
    <w:rsid w:val="00251549"/>
    <w:rsid w:val="00252812"/>
    <w:rsid w:val="0026121C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4DE"/>
    <w:rsid w:val="002B3D0B"/>
    <w:rsid w:val="002B4EC6"/>
    <w:rsid w:val="002B5BC8"/>
    <w:rsid w:val="002B5DFD"/>
    <w:rsid w:val="002C137E"/>
    <w:rsid w:val="002D11B7"/>
    <w:rsid w:val="002D3DEC"/>
    <w:rsid w:val="002D41EA"/>
    <w:rsid w:val="002E199D"/>
    <w:rsid w:val="002E7F43"/>
    <w:rsid w:val="002F2D0F"/>
    <w:rsid w:val="002F6CC5"/>
    <w:rsid w:val="00301B88"/>
    <w:rsid w:val="00304108"/>
    <w:rsid w:val="0031028D"/>
    <w:rsid w:val="0032131C"/>
    <w:rsid w:val="0032132B"/>
    <w:rsid w:val="00322C35"/>
    <w:rsid w:val="00322C73"/>
    <w:rsid w:val="00333AC0"/>
    <w:rsid w:val="00337BFE"/>
    <w:rsid w:val="00343673"/>
    <w:rsid w:val="00344540"/>
    <w:rsid w:val="00345925"/>
    <w:rsid w:val="00345984"/>
    <w:rsid w:val="00346743"/>
    <w:rsid w:val="00350B24"/>
    <w:rsid w:val="00381BDB"/>
    <w:rsid w:val="0038336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4417"/>
    <w:rsid w:val="003C54E4"/>
    <w:rsid w:val="003C64AC"/>
    <w:rsid w:val="003D0C83"/>
    <w:rsid w:val="003D37B9"/>
    <w:rsid w:val="003D3E0E"/>
    <w:rsid w:val="003D7E2B"/>
    <w:rsid w:val="003E1D16"/>
    <w:rsid w:val="003E336A"/>
    <w:rsid w:val="003E3907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24D"/>
    <w:rsid w:val="004138C2"/>
    <w:rsid w:val="00420A1A"/>
    <w:rsid w:val="00425219"/>
    <w:rsid w:val="00427391"/>
    <w:rsid w:val="0043062A"/>
    <w:rsid w:val="0043456F"/>
    <w:rsid w:val="004411A6"/>
    <w:rsid w:val="004440A9"/>
    <w:rsid w:val="004449CB"/>
    <w:rsid w:val="00445D80"/>
    <w:rsid w:val="004466A8"/>
    <w:rsid w:val="00446CEF"/>
    <w:rsid w:val="004506F2"/>
    <w:rsid w:val="00453EC7"/>
    <w:rsid w:val="00460045"/>
    <w:rsid w:val="00462E23"/>
    <w:rsid w:val="00463030"/>
    <w:rsid w:val="0046438B"/>
    <w:rsid w:val="00471283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2C50"/>
    <w:rsid w:val="004A39E8"/>
    <w:rsid w:val="004A5830"/>
    <w:rsid w:val="004B020A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3FB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2477"/>
    <w:rsid w:val="00536D76"/>
    <w:rsid w:val="00540B8D"/>
    <w:rsid w:val="0054412E"/>
    <w:rsid w:val="0054799A"/>
    <w:rsid w:val="005516CC"/>
    <w:rsid w:val="0055260E"/>
    <w:rsid w:val="00560A55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134"/>
    <w:rsid w:val="005C6468"/>
    <w:rsid w:val="005C69AB"/>
    <w:rsid w:val="005C7761"/>
    <w:rsid w:val="005D0E99"/>
    <w:rsid w:val="005D1963"/>
    <w:rsid w:val="005D3037"/>
    <w:rsid w:val="005D7178"/>
    <w:rsid w:val="005E7DB0"/>
    <w:rsid w:val="005F0655"/>
    <w:rsid w:val="005F1323"/>
    <w:rsid w:val="005F191C"/>
    <w:rsid w:val="005F28C0"/>
    <w:rsid w:val="005F353B"/>
    <w:rsid w:val="005F3979"/>
    <w:rsid w:val="005F40BB"/>
    <w:rsid w:val="005F42C4"/>
    <w:rsid w:val="005F4C76"/>
    <w:rsid w:val="005F6F2F"/>
    <w:rsid w:val="00600BA6"/>
    <w:rsid w:val="00601CA3"/>
    <w:rsid w:val="00601F21"/>
    <w:rsid w:val="0060349A"/>
    <w:rsid w:val="0060410C"/>
    <w:rsid w:val="00607600"/>
    <w:rsid w:val="00607A51"/>
    <w:rsid w:val="00610E1C"/>
    <w:rsid w:val="0061645D"/>
    <w:rsid w:val="00621D1F"/>
    <w:rsid w:val="006240FF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662E9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0CAA"/>
    <w:rsid w:val="006C55FF"/>
    <w:rsid w:val="006D3BCE"/>
    <w:rsid w:val="006E420A"/>
    <w:rsid w:val="006F314E"/>
    <w:rsid w:val="006F6F36"/>
    <w:rsid w:val="006F70BB"/>
    <w:rsid w:val="00715C52"/>
    <w:rsid w:val="00717284"/>
    <w:rsid w:val="00717944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3E2C"/>
    <w:rsid w:val="007D4309"/>
    <w:rsid w:val="007D4423"/>
    <w:rsid w:val="007D5B44"/>
    <w:rsid w:val="007D6ADE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437B"/>
    <w:rsid w:val="008046F7"/>
    <w:rsid w:val="00805D7F"/>
    <w:rsid w:val="00810CAB"/>
    <w:rsid w:val="00817D65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053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D3A8F"/>
    <w:rsid w:val="008E32ED"/>
    <w:rsid w:val="008E652C"/>
    <w:rsid w:val="008E6944"/>
    <w:rsid w:val="008F185A"/>
    <w:rsid w:val="008F78E3"/>
    <w:rsid w:val="00900BB6"/>
    <w:rsid w:val="009021D8"/>
    <w:rsid w:val="00902B8D"/>
    <w:rsid w:val="0090382A"/>
    <w:rsid w:val="0090544E"/>
    <w:rsid w:val="009059F2"/>
    <w:rsid w:val="00913356"/>
    <w:rsid w:val="009149F0"/>
    <w:rsid w:val="009153B8"/>
    <w:rsid w:val="009241AB"/>
    <w:rsid w:val="00925A83"/>
    <w:rsid w:val="00925DC3"/>
    <w:rsid w:val="00926767"/>
    <w:rsid w:val="00926FF0"/>
    <w:rsid w:val="0093199B"/>
    <w:rsid w:val="00933D1B"/>
    <w:rsid w:val="0094012F"/>
    <w:rsid w:val="00941DCB"/>
    <w:rsid w:val="00952409"/>
    <w:rsid w:val="00952935"/>
    <w:rsid w:val="009535BD"/>
    <w:rsid w:val="00954A84"/>
    <w:rsid w:val="0095518B"/>
    <w:rsid w:val="00956E55"/>
    <w:rsid w:val="0096062F"/>
    <w:rsid w:val="00962770"/>
    <w:rsid w:val="00963412"/>
    <w:rsid w:val="009636C7"/>
    <w:rsid w:val="009711E5"/>
    <w:rsid w:val="00975FAA"/>
    <w:rsid w:val="0097728A"/>
    <w:rsid w:val="00977CC7"/>
    <w:rsid w:val="00982676"/>
    <w:rsid w:val="00987B59"/>
    <w:rsid w:val="00990990"/>
    <w:rsid w:val="0099483B"/>
    <w:rsid w:val="00996970"/>
    <w:rsid w:val="009A0914"/>
    <w:rsid w:val="009A1369"/>
    <w:rsid w:val="009A2690"/>
    <w:rsid w:val="009A27FA"/>
    <w:rsid w:val="009A3516"/>
    <w:rsid w:val="009A72DC"/>
    <w:rsid w:val="009A73BA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4B94"/>
    <w:rsid w:val="00A66650"/>
    <w:rsid w:val="00A67709"/>
    <w:rsid w:val="00A82A3F"/>
    <w:rsid w:val="00A83BE2"/>
    <w:rsid w:val="00A8418A"/>
    <w:rsid w:val="00A8539D"/>
    <w:rsid w:val="00AB0032"/>
    <w:rsid w:val="00AB316A"/>
    <w:rsid w:val="00AB400F"/>
    <w:rsid w:val="00AB6EA5"/>
    <w:rsid w:val="00AC0BB2"/>
    <w:rsid w:val="00AC39B6"/>
    <w:rsid w:val="00AC5EA2"/>
    <w:rsid w:val="00AD1E4C"/>
    <w:rsid w:val="00AD39E3"/>
    <w:rsid w:val="00AD4BD8"/>
    <w:rsid w:val="00AD706E"/>
    <w:rsid w:val="00AE0087"/>
    <w:rsid w:val="00AE028E"/>
    <w:rsid w:val="00AE2E27"/>
    <w:rsid w:val="00AF176C"/>
    <w:rsid w:val="00AF6599"/>
    <w:rsid w:val="00B0373B"/>
    <w:rsid w:val="00B039B4"/>
    <w:rsid w:val="00B0404F"/>
    <w:rsid w:val="00B10ECC"/>
    <w:rsid w:val="00B125AE"/>
    <w:rsid w:val="00B12E0B"/>
    <w:rsid w:val="00B13099"/>
    <w:rsid w:val="00B15273"/>
    <w:rsid w:val="00B15AB7"/>
    <w:rsid w:val="00B169C0"/>
    <w:rsid w:val="00B17658"/>
    <w:rsid w:val="00B227F0"/>
    <w:rsid w:val="00B272AF"/>
    <w:rsid w:val="00B32942"/>
    <w:rsid w:val="00B3614E"/>
    <w:rsid w:val="00B404C1"/>
    <w:rsid w:val="00B42B4B"/>
    <w:rsid w:val="00B50113"/>
    <w:rsid w:val="00B5199C"/>
    <w:rsid w:val="00B62161"/>
    <w:rsid w:val="00B70681"/>
    <w:rsid w:val="00B7091D"/>
    <w:rsid w:val="00B74857"/>
    <w:rsid w:val="00B80AEE"/>
    <w:rsid w:val="00B85573"/>
    <w:rsid w:val="00B92354"/>
    <w:rsid w:val="00B96816"/>
    <w:rsid w:val="00B973DD"/>
    <w:rsid w:val="00B97AC0"/>
    <w:rsid w:val="00BA04C1"/>
    <w:rsid w:val="00BA2192"/>
    <w:rsid w:val="00BA38DA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879"/>
    <w:rsid w:val="00BE6EBA"/>
    <w:rsid w:val="00BE7B4E"/>
    <w:rsid w:val="00BF2087"/>
    <w:rsid w:val="00BF490E"/>
    <w:rsid w:val="00BF521C"/>
    <w:rsid w:val="00BF64C3"/>
    <w:rsid w:val="00BF77ED"/>
    <w:rsid w:val="00C01B1B"/>
    <w:rsid w:val="00C03CCB"/>
    <w:rsid w:val="00C073A2"/>
    <w:rsid w:val="00C1244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4734B"/>
    <w:rsid w:val="00C51F94"/>
    <w:rsid w:val="00C54FE1"/>
    <w:rsid w:val="00C55298"/>
    <w:rsid w:val="00C5722D"/>
    <w:rsid w:val="00C621E0"/>
    <w:rsid w:val="00C642EB"/>
    <w:rsid w:val="00C84959"/>
    <w:rsid w:val="00C90D0B"/>
    <w:rsid w:val="00C93961"/>
    <w:rsid w:val="00C9501C"/>
    <w:rsid w:val="00C95756"/>
    <w:rsid w:val="00C967F5"/>
    <w:rsid w:val="00C973F6"/>
    <w:rsid w:val="00CA641B"/>
    <w:rsid w:val="00CA6B7E"/>
    <w:rsid w:val="00CB27B9"/>
    <w:rsid w:val="00CB2DB9"/>
    <w:rsid w:val="00CB4EC7"/>
    <w:rsid w:val="00CB6E3C"/>
    <w:rsid w:val="00CC356D"/>
    <w:rsid w:val="00CC4DA3"/>
    <w:rsid w:val="00CC5289"/>
    <w:rsid w:val="00CC765A"/>
    <w:rsid w:val="00CC78B1"/>
    <w:rsid w:val="00CE5FCC"/>
    <w:rsid w:val="00CE7C6A"/>
    <w:rsid w:val="00CF0A33"/>
    <w:rsid w:val="00CF2E5C"/>
    <w:rsid w:val="00CF4D9D"/>
    <w:rsid w:val="00CF6E34"/>
    <w:rsid w:val="00D01647"/>
    <w:rsid w:val="00D04A96"/>
    <w:rsid w:val="00D11A1A"/>
    <w:rsid w:val="00D137CC"/>
    <w:rsid w:val="00D1407C"/>
    <w:rsid w:val="00D2315F"/>
    <w:rsid w:val="00D279DA"/>
    <w:rsid w:val="00D4469E"/>
    <w:rsid w:val="00D44D97"/>
    <w:rsid w:val="00D451A6"/>
    <w:rsid w:val="00D47BA5"/>
    <w:rsid w:val="00D50120"/>
    <w:rsid w:val="00D50431"/>
    <w:rsid w:val="00D52BAA"/>
    <w:rsid w:val="00D55C99"/>
    <w:rsid w:val="00D57F53"/>
    <w:rsid w:val="00D75908"/>
    <w:rsid w:val="00D80A9C"/>
    <w:rsid w:val="00D85566"/>
    <w:rsid w:val="00D87B1D"/>
    <w:rsid w:val="00D87E0B"/>
    <w:rsid w:val="00D930F3"/>
    <w:rsid w:val="00D94510"/>
    <w:rsid w:val="00DA1877"/>
    <w:rsid w:val="00DA4727"/>
    <w:rsid w:val="00DA5FCB"/>
    <w:rsid w:val="00DA622E"/>
    <w:rsid w:val="00DA75BE"/>
    <w:rsid w:val="00DB0E6F"/>
    <w:rsid w:val="00DB46B2"/>
    <w:rsid w:val="00DB703A"/>
    <w:rsid w:val="00DB7C84"/>
    <w:rsid w:val="00DC0CD5"/>
    <w:rsid w:val="00DC1E8C"/>
    <w:rsid w:val="00DC304F"/>
    <w:rsid w:val="00DC4F50"/>
    <w:rsid w:val="00DD1751"/>
    <w:rsid w:val="00DD2EE7"/>
    <w:rsid w:val="00DE1019"/>
    <w:rsid w:val="00DE2579"/>
    <w:rsid w:val="00DE398B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62B2"/>
    <w:rsid w:val="00E27AD5"/>
    <w:rsid w:val="00E34F71"/>
    <w:rsid w:val="00E3676A"/>
    <w:rsid w:val="00E4022E"/>
    <w:rsid w:val="00E41A91"/>
    <w:rsid w:val="00E47872"/>
    <w:rsid w:val="00E47C73"/>
    <w:rsid w:val="00E55650"/>
    <w:rsid w:val="00E55E07"/>
    <w:rsid w:val="00E55FD9"/>
    <w:rsid w:val="00E6058E"/>
    <w:rsid w:val="00E60961"/>
    <w:rsid w:val="00E6253A"/>
    <w:rsid w:val="00E63024"/>
    <w:rsid w:val="00E70FFE"/>
    <w:rsid w:val="00E92DFB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5C0A"/>
    <w:rsid w:val="00ED64D8"/>
    <w:rsid w:val="00EE040C"/>
    <w:rsid w:val="00EE0EC5"/>
    <w:rsid w:val="00EE7533"/>
    <w:rsid w:val="00EF53C8"/>
    <w:rsid w:val="00EF5A10"/>
    <w:rsid w:val="00EF5E93"/>
    <w:rsid w:val="00EF7443"/>
    <w:rsid w:val="00F0320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2F7B"/>
    <w:rsid w:val="00F5686B"/>
    <w:rsid w:val="00F6150E"/>
    <w:rsid w:val="00F632B0"/>
    <w:rsid w:val="00F633CA"/>
    <w:rsid w:val="00F7095B"/>
    <w:rsid w:val="00F726CC"/>
    <w:rsid w:val="00F75BC8"/>
    <w:rsid w:val="00F82C98"/>
    <w:rsid w:val="00F82E7D"/>
    <w:rsid w:val="00F8626E"/>
    <w:rsid w:val="00F90C66"/>
    <w:rsid w:val="00F90ED7"/>
    <w:rsid w:val="00F9161F"/>
    <w:rsid w:val="00FA148B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4B07A67"/>
  <w15:chartTrackingRefBased/>
  <w15:docId w15:val="{DE5A72E0-8909-42FB-A0BC-E6C29A49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character" w:styleId="af3">
    <w:name w:val="endnote reference"/>
    <w:rsid w:val="00BE6879"/>
    <w:rPr>
      <w:vertAlign w:val="superscript"/>
    </w:rPr>
  </w:style>
  <w:style w:type="paragraph" w:styleId="af4">
    <w:name w:val="Revision"/>
    <w:hidden/>
    <w:uiPriority w:val="99"/>
    <w:semiHidden/>
    <w:rsid w:val="00212F9D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8FB02-03B8-42AE-9B82-F44F743C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712</Words>
  <Characters>3678</Characters>
  <Application>Microsoft Office Word</Application>
  <DocSecurity>0</DocSecurity>
  <Lines>30</Lines>
  <Paragraphs>8</Paragraphs>
  <ScaleCrop>false</ScaleCrop>
  <Company>HKSARG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20</cp:revision>
  <cp:lastPrinted>2020-08-04T10:12:00Z</cp:lastPrinted>
  <dcterms:created xsi:type="dcterms:W3CDTF">2023-10-06T03:38:00Z</dcterms:created>
  <dcterms:modified xsi:type="dcterms:W3CDTF">2023-11-15T08:08:00Z</dcterms:modified>
</cp:coreProperties>
</file>