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250D64" w14:paraId="42BE0E61" w14:textId="77777777" w:rsidTr="00DE2E76">
        <w:trPr>
          <w:tblHeader/>
        </w:trPr>
        <w:tc>
          <w:tcPr>
            <w:tcW w:w="5841" w:type="dxa"/>
            <w:gridSpan w:val="2"/>
            <w:tcBorders>
              <w:bottom w:val="single" w:sz="4" w:space="0" w:color="auto"/>
            </w:tcBorders>
          </w:tcPr>
          <w:p w14:paraId="3368CEF5" w14:textId="77777777" w:rsidR="00250D64" w:rsidRDefault="00250D64"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56D84AE5" w14:textId="77777777" w:rsidR="00250D64" w:rsidRDefault="00250D64" w:rsidP="00DE2E76">
            <w:pPr>
              <w:pStyle w:val="a7"/>
              <w:spacing w:beforeLines="30" w:before="108" w:afterLines="30" w:after="108"/>
              <w:rPr>
                <w:sz w:val="24"/>
              </w:rPr>
            </w:pPr>
            <w:r>
              <w:rPr>
                <w:sz w:val="24"/>
              </w:rPr>
              <w:t>Remarks/Guidelines</w:t>
            </w:r>
          </w:p>
        </w:tc>
      </w:tr>
      <w:tr w:rsidR="00250D64" w14:paraId="2E972230"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103A7B41" w14:textId="77777777" w:rsidR="00250D64" w:rsidRDefault="00250D64" w:rsidP="00DE2E76">
            <w:pPr>
              <w:spacing w:beforeLines="20" w:before="72" w:afterLines="20" w:after="72"/>
              <w:rPr>
                <w:b/>
                <w:bCs/>
                <w:color w:val="000000"/>
                <w:spacing w:val="-3"/>
              </w:rPr>
            </w:pPr>
            <w:r>
              <w:rPr>
                <w:b/>
                <w:bCs/>
                <w:color w:val="000000"/>
                <w:spacing w:val="-3"/>
              </w:rPr>
              <w:t xml:space="preserve">GCT 27  </w:t>
            </w:r>
            <w:r>
              <w:rPr>
                <w:b/>
                <w:bCs/>
              </w:rPr>
              <w:t xml:space="preserve">Statement of </w:t>
            </w:r>
            <w:r>
              <w:rPr>
                <w:rFonts w:hint="eastAsia"/>
                <w:b/>
                <w:bCs/>
                <w:lang w:eastAsia="zh-HK"/>
              </w:rPr>
              <w:t>c</w:t>
            </w:r>
            <w:r>
              <w:rPr>
                <w:b/>
                <w:bCs/>
              </w:rPr>
              <w:t xml:space="preserve">onvictions </w:t>
            </w:r>
            <w:r>
              <w:rPr>
                <w:rFonts w:hint="eastAsia"/>
                <w:b/>
                <w:bCs/>
                <w:lang w:eastAsia="zh-HK"/>
              </w:rPr>
              <w:t>u</w:t>
            </w:r>
            <w:r>
              <w:rPr>
                <w:b/>
                <w:bCs/>
              </w:rPr>
              <w:t>nder the Immigration Ordinance (Cap. 115)</w:t>
            </w:r>
          </w:p>
        </w:tc>
      </w:tr>
      <w:tr w:rsidR="00250D64" w14:paraId="679930C0" w14:textId="77777777" w:rsidTr="00DE2E76">
        <w:tc>
          <w:tcPr>
            <w:tcW w:w="973" w:type="dxa"/>
            <w:tcBorders>
              <w:top w:val="nil"/>
              <w:bottom w:val="nil"/>
              <w:right w:val="nil"/>
            </w:tcBorders>
          </w:tcPr>
          <w:p w14:paraId="77076067" w14:textId="77777777" w:rsidR="00250D64" w:rsidRDefault="00250D64" w:rsidP="00DE2E76">
            <w:pPr>
              <w:pStyle w:val="a7"/>
              <w:spacing w:beforeLines="20" w:before="72" w:afterLines="20" w:after="72"/>
              <w:ind w:rightChars="63" w:right="151"/>
              <w:jc w:val="both"/>
              <w:rPr>
                <w:b w:val="0"/>
                <w:bCs w:val="0"/>
                <w:sz w:val="24"/>
              </w:rPr>
            </w:pPr>
            <w:r>
              <w:rPr>
                <w:b w:val="0"/>
                <w:bCs w:val="0"/>
                <w:sz w:val="24"/>
              </w:rPr>
              <w:t>(1)</w:t>
            </w:r>
          </w:p>
        </w:tc>
        <w:tc>
          <w:tcPr>
            <w:tcW w:w="4868" w:type="dxa"/>
            <w:tcBorders>
              <w:top w:val="nil"/>
              <w:left w:val="nil"/>
              <w:bottom w:val="nil"/>
              <w:right w:val="single" w:sz="4" w:space="0" w:color="auto"/>
            </w:tcBorders>
          </w:tcPr>
          <w:p w14:paraId="710A4EDE" w14:textId="77777777" w:rsidR="00250D64" w:rsidRDefault="00250D64" w:rsidP="00DE2E76">
            <w:pPr>
              <w:pStyle w:val="a7"/>
              <w:spacing w:beforeLines="20" w:before="72" w:afterLines="20" w:after="72"/>
              <w:ind w:rightChars="63" w:right="151"/>
              <w:jc w:val="both"/>
              <w:rPr>
                <w:b w:val="0"/>
                <w:sz w:val="24"/>
              </w:rPr>
            </w:pPr>
            <w:r>
              <w:rPr>
                <w:rFonts w:eastAsia="絡遺羹"/>
                <w:b w:val="0"/>
                <w:sz w:val="24"/>
              </w:rPr>
              <w:t xml:space="preserve">A tender will not be considered if, during the 12-month period prior to the </w:t>
            </w:r>
            <w:r>
              <w:rPr>
                <w:rFonts w:eastAsia="絡遺羹" w:hint="eastAsia"/>
                <w:b w:val="0"/>
                <w:sz w:val="24"/>
              </w:rPr>
              <w:t>date set for the close of tender, or if this has been extended, the extended date,</w:t>
            </w:r>
            <w:r>
              <w:rPr>
                <w:rFonts w:eastAsia="絡遺羹"/>
                <w:b w:val="0"/>
                <w:sz w:val="24"/>
              </w:rPr>
              <w:t xml:space="preserve"> the tenderer has had three or more convictions in respect of separate incidents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workers or for having illegal workers on any site under the tenderer’s control, whether or not it has been formally suspended as a result of such convictions.  Illegal workers shall mean any persons on construction sites who are illegal immigrants; or any persons who, being not lawfully employable by virtue of Section </w:t>
            </w:r>
            <w:proofErr w:type="gramStart"/>
            <w:smartTag w:uri="urn:schemas-microsoft-com:office:smarttags" w:element="chmetcnv">
              <w:smartTagPr>
                <w:attr w:name="TCSC" w:val="0"/>
                <w:attr w:name="NumberType" w:val="1"/>
                <w:attr w:name="Negative" w:val="False"/>
                <w:attr w:name="HasSpace" w:val="False"/>
                <w:attr w:name="SourceValue" w:val="17"/>
                <w:attr w:name="UnitName" w:val="g"/>
              </w:smartTagPr>
              <w:r>
                <w:rPr>
                  <w:rFonts w:eastAsia="絡遺羹"/>
                  <w:b w:val="0"/>
                  <w:sz w:val="24"/>
                </w:rPr>
                <w:t>17G</w:t>
              </w:r>
            </w:smartTag>
            <w:r>
              <w:rPr>
                <w:rFonts w:eastAsia="絡遺羹"/>
                <w:b w:val="0"/>
                <w:sz w:val="24"/>
              </w:rPr>
              <w:t>(</w:t>
            </w:r>
            <w:proofErr w:type="gramEnd"/>
            <w:r>
              <w:rPr>
                <w:rFonts w:eastAsia="絡遺羹"/>
                <w:b w:val="0"/>
                <w:sz w:val="24"/>
              </w:rPr>
              <w:t>2) of the Immigration Ordinance, have committed an offence under Section 41 by contravening the conditions of stay in force in respect of them.  If the tenderer is an unincorporated or incorporated joint venture, the tender will not be considered if any participant of the unincorporated joint venture or shareholder of the incorporated joint venture has had three or more such convictions during the 12-month period, whether or not that participant or shareholder has been formally suspended as a result of such convictions.</w:t>
            </w:r>
          </w:p>
        </w:tc>
        <w:tc>
          <w:tcPr>
            <w:tcW w:w="3726" w:type="dxa"/>
            <w:tcBorders>
              <w:top w:val="nil"/>
              <w:left w:val="single" w:sz="4" w:space="0" w:color="auto"/>
              <w:bottom w:val="nil"/>
            </w:tcBorders>
          </w:tcPr>
          <w:p w14:paraId="338099CE" w14:textId="77777777" w:rsidR="00250D64" w:rsidRDefault="00250D64" w:rsidP="00DE2E76">
            <w:pPr>
              <w:spacing w:beforeLines="20" w:before="72" w:afterLines="20" w:after="72"/>
              <w:ind w:leftChars="64" w:left="154" w:rightChars="63" w:right="151"/>
              <w:jc w:val="both"/>
              <w:rPr>
                <w:b/>
                <w:bCs/>
              </w:rPr>
            </w:pPr>
          </w:p>
        </w:tc>
      </w:tr>
      <w:tr w:rsidR="00250D64" w:rsidRPr="00073162" w14:paraId="5E7AECC9" w14:textId="77777777" w:rsidTr="00DE2E76">
        <w:tc>
          <w:tcPr>
            <w:tcW w:w="973" w:type="dxa"/>
            <w:tcBorders>
              <w:top w:val="nil"/>
              <w:bottom w:val="nil"/>
              <w:right w:val="nil"/>
            </w:tcBorders>
          </w:tcPr>
          <w:p w14:paraId="7AF02970" w14:textId="77777777" w:rsidR="00250D64" w:rsidRDefault="00250D64" w:rsidP="00DE2E76">
            <w:pPr>
              <w:pStyle w:val="a7"/>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nil"/>
              <w:right w:val="single" w:sz="4" w:space="0" w:color="auto"/>
            </w:tcBorders>
          </w:tcPr>
          <w:p w14:paraId="6A7298E8" w14:textId="77777777" w:rsidR="00250D64" w:rsidRDefault="00250D64" w:rsidP="00DE2E76">
            <w:pPr>
              <w:pStyle w:val="a7"/>
              <w:spacing w:beforeLines="20" w:before="72" w:afterLines="20" w:after="72"/>
              <w:ind w:rightChars="63" w:right="151"/>
              <w:jc w:val="both"/>
              <w:rPr>
                <w:b w:val="0"/>
                <w:bCs w:val="0"/>
                <w:sz w:val="24"/>
              </w:rPr>
            </w:pPr>
            <w:r>
              <w:rPr>
                <w:rFonts w:eastAsia="絡遺羹"/>
                <w:b w:val="0"/>
                <w:sz w:val="24"/>
              </w:rPr>
              <w:t>The tenderer shall submit</w:t>
            </w:r>
            <w:r>
              <w:rPr>
                <w:rFonts w:eastAsia="絡遺羹" w:hint="eastAsia"/>
                <w:b w:val="0"/>
                <w:sz w:val="24"/>
              </w:rPr>
              <w:t xml:space="preserve">, </w:t>
            </w:r>
            <w:r w:rsidRPr="00073162">
              <w:rPr>
                <w:rFonts w:eastAsia="絡遺羹" w:hint="eastAsia"/>
                <w:b w:val="0"/>
                <w:color w:val="0000FF"/>
                <w:sz w:val="24"/>
              </w:rPr>
              <w:t xml:space="preserve">subject to General Conditions of Tender Clause </w:t>
            </w:r>
            <w:r w:rsidRPr="00073162">
              <w:rPr>
                <w:rFonts w:eastAsia="絡遺羹" w:hint="eastAsia"/>
                <w:b w:val="0"/>
                <w:color w:val="0000FF"/>
                <w:sz w:val="24"/>
                <w:lang w:eastAsia="zh-HK"/>
              </w:rPr>
              <w:t xml:space="preserve">GCT </w:t>
            </w:r>
            <w:r w:rsidRPr="00073162">
              <w:rPr>
                <w:rFonts w:eastAsia="絡遺羹" w:hint="eastAsia"/>
                <w:b w:val="0"/>
                <w:color w:val="0000FF"/>
                <w:sz w:val="24"/>
              </w:rPr>
              <w:t>25/</w:t>
            </w:r>
            <w:r w:rsidRPr="00073162">
              <w:rPr>
                <w:rFonts w:eastAsia="絡遺羹"/>
                <w:b w:val="0"/>
                <w:color w:val="0000FF"/>
                <w:sz w:val="24"/>
              </w:rPr>
              <w:t>with the tender</w:t>
            </w:r>
            <w:r w:rsidRPr="00073162">
              <w:rPr>
                <w:rFonts w:eastAsia="絡遺羹" w:hint="eastAsia"/>
                <w:b w:val="0"/>
                <w:color w:val="0000FF"/>
                <w:sz w:val="24"/>
              </w:rPr>
              <w:t>**</w:t>
            </w:r>
            <w:r>
              <w:rPr>
                <w:rFonts w:eastAsia="絡遺羹"/>
                <w:b w:val="0"/>
                <w:sz w:val="24"/>
              </w:rPr>
              <w:t xml:space="preserve">, </w:t>
            </w:r>
            <w:r>
              <w:rPr>
                <w:rFonts w:eastAsia="絡遺羹"/>
                <w:b w:val="0"/>
                <w:sz w:val="24"/>
                <w:u w:val="single"/>
              </w:rPr>
              <w:t>either</w:t>
            </w:r>
            <w:r>
              <w:rPr>
                <w:rFonts w:eastAsia="絡遺羹"/>
                <w:b w:val="0"/>
                <w:sz w:val="24"/>
              </w:rPr>
              <w:t xml:space="preserve"> a statement of all convictions under Sections 17I or </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eastAsia="絡遺羹"/>
                  <w:b w:val="0"/>
                  <w:sz w:val="24"/>
                </w:rPr>
                <w:t>38A</w:t>
              </w:r>
            </w:smartTag>
            <w:r>
              <w:rPr>
                <w:rFonts w:eastAsia="絡遺羹"/>
                <w:b w:val="0"/>
                <w:sz w:val="24"/>
              </w:rPr>
              <w:t xml:space="preserve"> of the Immigration Ordinance (Cap. 115) for employing illegal </w:t>
            </w:r>
            <w:r>
              <w:rPr>
                <w:rFonts w:eastAsia="絡遺羹" w:hint="eastAsia"/>
                <w:b w:val="0"/>
                <w:sz w:val="24"/>
              </w:rPr>
              <w:t>workers</w:t>
            </w:r>
            <w:r>
              <w:rPr>
                <w:rFonts w:eastAsia="絡遺羹"/>
                <w:b w:val="0"/>
                <w:sz w:val="24"/>
              </w:rPr>
              <w:t xml:space="preserve"> or for having illegal </w:t>
            </w:r>
            <w:r>
              <w:rPr>
                <w:rFonts w:eastAsia="絡遺羹" w:hint="eastAsia"/>
                <w:b w:val="0"/>
                <w:sz w:val="24"/>
              </w:rPr>
              <w:t>workers</w:t>
            </w:r>
            <w:r>
              <w:rPr>
                <w:rFonts w:eastAsia="絡遺羹"/>
                <w:b w:val="0"/>
                <w:sz w:val="24"/>
              </w:rPr>
              <w:t xml:space="preserve"> </w:t>
            </w:r>
            <w:r>
              <w:rPr>
                <w:rFonts w:eastAsia="絡遺羹" w:hint="eastAsia"/>
                <w:b w:val="0"/>
                <w:sz w:val="24"/>
              </w:rPr>
              <w:t>for</w:t>
            </w:r>
            <w:r>
              <w:rPr>
                <w:rFonts w:eastAsia="絡遺羹"/>
                <w:b w:val="0"/>
                <w:sz w:val="24"/>
              </w:rPr>
              <w:t xml:space="preserve"> a</w:t>
            </w:r>
            <w:r>
              <w:rPr>
                <w:rFonts w:eastAsia="絡遺羹" w:hint="eastAsia"/>
                <w:b w:val="0"/>
                <w:sz w:val="24"/>
              </w:rPr>
              <w:t>ll</w:t>
            </w:r>
            <w:r>
              <w:rPr>
                <w:rFonts w:eastAsia="絡遺羹"/>
                <w:b w:val="0"/>
                <w:sz w:val="24"/>
              </w:rPr>
              <w:t xml:space="preserve"> site</w:t>
            </w:r>
            <w:r>
              <w:rPr>
                <w:rFonts w:eastAsia="絡遺羹" w:hint="eastAsia"/>
                <w:b w:val="0"/>
                <w:sz w:val="24"/>
              </w:rPr>
              <w:t>s</w:t>
            </w:r>
            <w:r>
              <w:rPr>
                <w:rFonts w:eastAsia="絡遺羹"/>
                <w:b w:val="0"/>
                <w:sz w:val="24"/>
              </w:rPr>
              <w:t xml:space="preserve"> under its control</w:t>
            </w:r>
            <w:r>
              <w:rPr>
                <w:rFonts w:eastAsia="絡遺羹" w:hint="eastAsia"/>
                <w:b w:val="0"/>
                <w:sz w:val="24"/>
              </w:rPr>
              <w:t xml:space="preserve"> (whether they are sites under public or private contracts) </w:t>
            </w:r>
            <w:r>
              <w:rPr>
                <w:rFonts w:eastAsia="絡遺羹"/>
                <w:b w:val="0"/>
                <w:sz w:val="24"/>
              </w:rPr>
              <w:t xml:space="preserve">during the </w:t>
            </w:r>
            <w:r w:rsidRPr="00073162">
              <w:rPr>
                <w:rFonts w:eastAsia="絡遺羹"/>
                <w:b w:val="0"/>
                <w:color w:val="0000FF"/>
                <w:sz w:val="24"/>
              </w:rPr>
              <w:t>12-month</w:t>
            </w:r>
            <w:r>
              <w:rPr>
                <w:rFonts w:eastAsia="絡遺羹"/>
                <w:b w:val="0"/>
                <w:color w:val="0000FF"/>
                <w:sz w:val="24"/>
              </w:rPr>
              <w:t>^</w:t>
            </w:r>
            <w:r>
              <w:rPr>
                <w:rFonts w:eastAsia="絡遺羹"/>
                <w:b w:val="0"/>
                <w:sz w:val="24"/>
              </w:rPr>
              <w:t xml:space="preserve"> period prior to the date set for the close of tender, or if this has been extended, the extend</w:t>
            </w:r>
            <w:r>
              <w:rPr>
                <w:rFonts w:eastAsia="絡遺羹" w:hint="eastAsia"/>
                <w:b w:val="0"/>
                <w:sz w:val="24"/>
              </w:rPr>
              <w:t>ed</w:t>
            </w:r>
            <w:r>
              <w:rPr>
                <w:rFonts w:eastAsia="絡遺羹"/>
                <w:b w:val="0"/>
                <w:sz w:val="24"/>
              </w:rPr>
              <w:t xml:space="preserve"> date, </w:t>
            </w:r>
            <w:r>
              <w:rPr>
                <w:rFonts w:eastAsia="絡遺羹" w:hint="eastAsia"/>
                <w:b w:val="0"/>
                <w:sz w:val="24"/>
              </w:rPr>
              <w:t xml:space="preserve">the </w:t>
            </w:r>
            <w:r>
              <w:rPr>
                <w:rFonts w:eastAsia="絡遺羹" w:hint="eastAsia"/>
                <w:b w:val="0"/>
                <w:sz w:val="24"/>
              </w:rPr>
              <w:lastRenderedPageBreak/>
              <w:t>details of which shall include the legislation violated, dates of offences, dates of convictions and the</w:t>
            </w:r>
            <w:r>
              <w:rPr>
                <w:rFonts w:eastAsia="絡遺羹"/>
                <w:b w:val="0"/>
                <w:sz w:val="24"/>
              </w:rPr>
              <w:t xml:space="preserve"> associated</w:t>
            </w:r>
            <w:r>
              <w:rPr>
                <w:rFonts w:eastAsia="絡遺羹" w:hint="eastAsia"/>
                <w:b w:val="0"/>
                <w:sz w:val="24"/>
              </w:rPr>
              <w:t xml:space="preserve"> fine imposed by the court, site addresses, contract numbers and contract titles, </w:t>
            </w:r>
            <w:r>
              <w:rPr>
                <w:rFonts w:eastAsia="絡遺羹"/>
                <w:b w:val="0"/>
                <w:sz w:val="24"/>
                <w:u w:val="single"/>
              </w:rPr>
              <w:t>or</w:t>
            </w:r>
            <w:r>
              <w:rPr>
                <w:rFonts w:eastAsia="絡遺羹"/>
                <w:b w:val="0"/>
                <w:sz w:val="24"/>
              </w:rPr>
              <w:t xml:space="preserve"> a statement of “no conviction”.  The statement shall be certified by a person authorized to sign Government contracts on the tenderer’s behalf </w:t>
            </w:r>
            <w:proofErr w:type="gramStart"/>
            <w:r w:rsidRPr="00073162">
              <w:rPr>
                <w:rFonts w:eastAsia="絡遺羹" w:hint="eastAsia"/>
                <w:b w:val="0"/>
                <w:color w:val="0000FF"/>
                <w:sz w:val="24"/>
              </w:rPr>
              <w:t>#[</w:t>
            </w:r>
            <w:proofErr w:type="gramEnd"/>
            <w:r w:rsidRPr="00073162">
              <w:rPr>
                <w:rFonts w:eastAsia="絡遺羹" w:hint="eastAsia"/>
                <w:b w:val="0"/>
                <w:color w:val="0000FF"/>
                <w:sz w:val="24"/>
              </w:rPr>
              <w:t xml:space="preserve">, </w:t>
            </w:r>
            <w:r w:rsidRPr="00073162">
              <w:rPr>
                <w:rFonts w:eastAsia="絡遺羹"/>
                <w:b w:val="0"/>
                <w:color w:val="0000FF"/>
                <w:sz w:val="24"/>
              </w:rPr>
              <w:t>or in case of EMSTF’s tender, a person authorized to sign the Service Level Agreement.]</w:t>
            </w:r>
            <w:r>
              <w:rPr>
                <w:rFonts w:eastAsia="絡遺羹" w:hint="eastAsia"/>
                <w:b w:val="0"/>
                <w:sz w:val="24"/>
              </w:rPr>
              <w:t>.</w:t>
            </w:r>
          </w:p>
        </w:tc>
        <w:tc>
          <w:tcPr>
            <w:tcW w:w="3726" w:type="dxa"/>
            <w:tcBorders>
              <w:top w:val="nil"/>
              <w:left w:val="single" w:sz="4" w:space="0" w:color="auto"/>
              <w:bottom w:val="nil"/>
            </w:tcBorders>
          </w:tcPr>
          <w:p w14:paraId="4960F9C9" w14:textId="77777777" w:rsidR="00250D64" w:rsidRDefault="00250D64" w:rsidP="00DE2E76">
            <w:pPr>
              <w:pStyle w:val="a7"/>
              <w:tabs>
                <w:tab w:val="left" w:pos="513"/>
              </w:tabs>
              <w:spacing w:beforeLines="20" w:before="72" w:afterLines="20" w:after="72"/>
              <w:ind w:leftChars="63" w:left="502" w:right="152" w:hangingChars="150" w:hanging="351"/>
              <w:jc w:val="both"/>
              <w:rPr>
                <w:b w:val="0"/>
                <w:bCs w:val="0"/>
                <w:sz w:val="24"/>
              </w:rPr>
            </w:pPr>
            <w:r w:rsidRPr="00073162">
              <w:rPr>
                <w:b w:val="0"/>
                <w:bCs w:val="0"/>
                <w:color w:val="0000FF"/>
                <w:sz w:val="24"/>
              </w:rPr>
              <w:lastRenderedPageBreak/>
              <w:t>**</w:t>
            </w:r>
            <w:r w:rsidRPr="00073162">
              <w:rPr>
                <w:b w:val="0"/>
                <w:bCs w:val="0"/>
                <w:color w:val="0000FF"/>
                <w:sz w:val="24"/>
              </w:rPr>
              <w:tab/>
              <w:t xml:space="preserve">Delete as appropriate </w:t>
            </w:r>
            <w:r w:rsidRPr="00E80470">
              <w:rPr>
                <w:b w:val="0"/>
                <w:bCs w:val="0"/>
                <w:sz w:val="24"/>
              </w:rPr>
              <w:t>for Formu</w:t>
            </w:r>
            <w:r w:rsidRPr="00C01034">
              <w:rPr>
                <w:b w:val="0"/>
                <w:bCs w:val="0"/>
                <w:sz w:val="24"/>
              </w:rPr>
              <w:t>la Approach / Marking Scheme tender evaluation.</w:t>
            </w:r>
            <w:r w:rsidRPr="00C01034" w:rsidDel="008E4FF0">
              <w:rPr>
                <w:rFonts w:hint="eastAsia"/>
                <w:b w:val="0"/>
                <w:bCs w:val="0"/>
                <w:sz w:val="24"/>
              </w:rPr>
              <w:t xml:space="preserve"> </w:t>
            </w:r>
          </w:p>
          <w:p w14:paraId="285B7760" w14:textId="77777777" w:rsidR="00250D64" w:rsidRDefault="00250D64" w:rsidP="00DE2E76">
            <w:pPr>
              <w:pStyle w:val="a7"/>
              <w:tabs>
                <w:tab w:val="left" w:pos="513"/>
              </w:tabs>
              <w:spacing w:beforeLines="20" w:before="72" w:afterLines="20" w:after="72"/>
              <w:ind w:leftChars="63" w:left="502" w:right="152" w:hangingChars="150" w:hanging="351"/>
              <w:jc w:val="both"/>
              <w:rPr>
                <w:b w:val="0"/>
                <w:bCs w:val="0"/>
                <w:sz w:val="24"/>
              </w:rPr>
            </w:pPr>
          </w:p>
          <w:p w14:paraId="57FF722B" w14:textId="77777777" w:rsidR="00250D64" w:rsidRDefault="00250D64" w:rsidP="00DE2E76">
            <w:pPr>
              <w:pStyle w:val="a7"/>
              <w:tabs>
                <w:tab w:val="left" w:pos="513"/>
              </w:tabs>
              <w:spacing w:beforeLines="20" w:before="72" w:afterLines="20" w:after="72"/>
              <w:ind w:leftChars="63" w:left="502" w:right="152" w:hangingChars="150" w:hanging="351"/>
              <w:jc w:val="both"/>
              <w:rPr>
                <w:b w:val="0"/>
                <w:bCs w:val="0"/>
                <w:sz w:val="24"/>
              </w:rPr>
            </w:pPr>
          </w:p>
          <w:p w14:paraId="7DCBC2B8" w14:textId="77777777" w:rsidR="00250D64" w:rsidRPr="00C01034" w:rsidRDefault="00250D64" w:rsidP="00DE2E76">
            <w:pPr>
              <w:pStyle w:val="a7"/>
              <w:tabs>
                <w:tab w:val="left" w:pos="513"/>
              </w:tabs>
              <w:spacing w:beforeLines="20" w:before="72" w:afterLines="20" w:after="72"/>
              <w:ind w:leftChars="63" w:left="502" w:right="152" w:hangingChars="150" w:hanging="351"/>
              <w:jc w:val="both"/>
              <w:rPr>
                <w:b w:val="0"/>
                <w:bCs w:val="0"/>
                <w:sz w:val="24"/>
              </w:rPr>
            </w:pPr>
          </w:p>
          <w:p w14:paraId="0CFA0AA7" w14:textId="77777777" w:rsidR="00250D64" w:rsidRDefault="00250D64" w:rsidP="00DE2E76">
            <w:pPr>
              <w:pStyle w:val="a7"/>
              <w:tabs>
                <w:tab w:val="left" w:pos="513"/>
              </w:tabs>
              <w:spacing w:beforeLines="20" w:before="72" w:afterLines="20" w:after="72"/>
              <w:ind w:leftChars="63" w:left="502" w:right="152" w:hangingChars="150" w:hanging="351"/>
              <w:jc w:val="both"/>
              <w:rPr>
                <w:b w:val="0"/>
                <w:bCs w:val="0"/>
                <w:color w:val="0000FF"/>
                <w:sz w:val="24"/>
              </w:rPr>
            </w:pPr>
            <w:r>
              <w:rPr>
                <w:b w:val="0"/>
                <w:bCs w:val="0"/>
                <w:color w:val="0000FF"/>
                <w:sz w:val="24"/>
              </w:rPr>
              <w:t>^</w:t>
            </w:r>
            <w:r w:rsidRPr="00073162">
              <w:rPr>
                <w:b w:val="0"/>
                <w:bCs w:val="0"/>
                <w:color w:val="0000FF"/>
                <w:sz w:val="24"/>
              </w:rPr>
              <w:tab/>
              <w:t>[</w:t>
            </w:r>
            <w:r w:rsidRPr="00E80470">
              <w:rPr>
                <w:b w:val="0"/>
                <w:bCs w:val="0"/>
                <w:sz w:val="24"/>
              </w:rPr>
              <w:t xml:space="preserve">or other period specified by the </w:t>
            </w:r>
            <w:r w:rsidRPr="00C01034">
              <w:rPr>
                <w:rFonts w:hint="eastAsia"/>
                <w:b w:val="0"/>
                <w:bCs w:val="0"/>
                <w:i/>
                <w:sz w:val="24"/>
                <w:lang w:eastAsia="zh-HK"/>
              </w:rPr>
              <w:t>Service Manager</w:t>
            </w:r>
            <w:r w:rsidRPr="00C01034">
              <w:rPr>
                <w:b w:val="0"/>
                <w:bCs w:val="0"/>
                <w:sz w:val="24"/>
              </w:rPr>
              <w:t xml:space="preserve"> where appropriate to cope with the assessment period for tender </w:t>
            </w:r>
            <w:r w:rsidRPr="00C01034">
              <w:rPr>
                <w:b w:val="0"/>
                <w:bCs w:val="0"/>
                <w:sz w:val="24"/>
              </w:rPr>
              <w:lastRenderedPageBreak/>
              <w:t>evaluation using the Marking Scheme.</w:t>
            </w:r>
            <w:r w:rsidRPr="00073162">
              <w:rPr>
                <w:b w:val="0"/>
                <w:bCs w:val="0"/>
                <w:color w:val="0000FF"/>
                <w:sz w:val="24"/>
              </w:rPr>
              <w:t>]</w:t>
            </w:r>
          </w:p>
          <w:p w14:paraId="6F775B3E" w14:textId="77777777" w:rsidR="00250D64" w:rsidRDefault="00250D64" w:rsidP="00DE2E76">
            <w:pPr>
              <w:pStyle w:val="a7"/>
              <w:tabs>
                <w:tab w:val="left" w:pos="513"/>
              </w:tabs>
              <w:ind w:leftChars="63" w:left="502" w:rightChars="63" w:right="151" w:hangingChars="150" w:hanging="351"/>
              <w:jc w:val="both"/>
              <w:rPr>
                <w:b w:val="0"/>
                <w:bCs w:val="0"/>
                <w:color w:val="0000FF"/>
                <w:sz w:val="24"/>
              </w:rPr>
            </w:pPr>
          </w:p>
          <w:p w14:paraId="50F44AAA" w14:textId="77777777" w:rsidR="00250D64" w:rsidRDefault="00250D64" w:rsidP="00DE2E76">
            <w:pPr>
              <w:pStyle w:val="a7"/>
              <w:tabs>
                <w:tab w:val="left" w:pos="513"/>
              </w:tabs>
              <w:ind w:leftChars="63" w:left="502" w:rightChars="63" w:right="151" w:hangingChars="150" w:hanging="351"/>
              <w:jc w:val="both"/>
              <w:rPr>
                <w:b w:val="0"/>
                <w:bCs w:val="0"/>
                <w:color w:val="0000FF"/>
                <w:sz w:val="24"/>
              </w:rPr>
            </w:pPr>
          </w:p>
          <w:p w14:paraId="46E14063" w14:textId="77777777" w:rsidR="00250D64" w:rsidRDefault="00250D64" w:rsidP="00DE2E76">
            <w:pPr>
              <w:pStyle w:val="a7"/>
              <w:tabs>
                <w:tab w:val="left" w:pos="513"/>
              </w:tabs>
              <w:ind w:leftChars="63" w:left="502" w:rightChars="63" w:right="151" w:hangingChars="150" w:hanging="351"/>
              <w:jc w:val="both"/>
              <w:rPr>
                <w:b w:val="0"/>
                <w:bCs w:val="0"/>
                <w:color w:val="0000FF"/>
                <w:sz w:val="24"/>
              </w:rPr>
            </w:pPr>
          </w:p>
          <w:p w14:paraId="4A6FEDA1" w14:textId="77777777" w:rsidR="00250D64" w:rsidRDefault="00250D64" w:rsidP="00DE2E76">
            <w:pPr>
              <w:pStyle w:val="a7"/>
              <w:tabs>
                <w:tab w:val="left" w:pos="513"/>
              </w:tabs>
              <w:ind w:leftChars="63" w:left="502" w:rightChars="63" w:right="151" w:hangingChars="150" w:hanging="351"/>
              <w:jc w:val="both"/>
              <w:rPr>
                <w:b w:val="0"/>
                <w:bCs w:val="0"/>
                <w:color w:val="0000FF"/>
                <w:sz w:val="24"/>
              </w:rPr>
            </w:pPr>
          </w:p>
          <w:p w14:paraId="42FC2742" w14:textId="77777777" w:rsidR="00250D64" w:rsidRPr="00073162" w:rsidRDefault="00250D64" w:rsidP="00DE2E76">
            <w:pPr>
              <w:pStyle w:val="a7"/>
              <w:tabs>
                <w:tab w:val="left" w:pos="513"/>
              </w:tabs>
              <w:ind w:leftChars="63" w:left="502" w:rightChars="63" w:right="151" w:hangingChars="150" w:hanging="351"/>
              <w:jc w:val="both"/>
              <w:rPr>
                <w:b w:val="0"/>
                <w:bCs w:val="0"/>
                <w:color w:val="0000FF"/>
                <w:sz w:val="24"/>
              </w:rPr>
            </w:pPr>
            <w:r w:rsidRPr="00AB1482">
              <w:rPr>
                <w:rFonts w:hint="eastAsia"/>
                <w:b w:val="0"/>
                <w:bCs w:val="0"/>
                <w:color w:val="0000FF"/>
                <w:sz w:val="24"/>
              </w:rPr>
              <w:t>#</w:t>
            </w:r>
            <w:r w:rsidRPr="00AB1482">
              <w:rPr>
                <w:b w:val="0"/>
                <w:bCs w:val="0"/>
                <w:color w:val="0000FF"/>
                <w:sz w:val="24"/>
              </w:rPr>
              <w:t xml:space="preserve"> </w:t>
            </w:r>
            <w:r>
              <w:rPr>
                <w:b w:val="0"/>
                <w:bCs w:val="0"/>
                <w:color w:val="0000FF"/>
                <w:sz w:val="24"/>
              </w:rPr>
              <w:tab/>
            </w:r>
            <w:proofErr w:type="gramStart"/>
            <w:r w:rsidRPr="00691E21">
              <w:rPr>
                <w:rFonts w:hint="eastAsia"/>
                <w:b w:val="0"/>
                <w:bCs w:val="0"/>
                <w:color w:val="auto"/>
                <w:sz w:val="24"/>
              </w:rPr>
              <w:t>For</w:t>
            </w:r>
            <w:proofErr w:type="gramEnd"/>
            <w:r w:rsidRPr="00691E21">
              <w:rPr>
                <w:rFonts w:hint="eastAsia"/>
                <w:b w:val="0"/>
                <w:bCs w:val="0"/>
                <w:color w:val="auto"/>
                <w:sz w:val="24"/>
              </w:rPr>
              <w:t xml:space="preserve"> use in tenders which EMSTF is eligible to bid</w:t>
            </w:r>
          </w:p>
        </w:tc>
      </w:tr>
      <w:tr w:rsidR="00250D64" w14:paraId="30450EE3" w14:textId="77777777" w:rsidTr="00DE2E76">
        <w:tc>
          <w:tcPr>
            <w:tcW w:w="973" w:type="dxa"/>
            <w:tcBorders>
              <w:top w:val="nil"/>
              <w:bottom w:val="nil"/>
              <w:right w:val="nil"/>
            </w:tcBorders>
          </w:tcPr>
          <w:p w14:paraId="2CDAC4BF" w14:textId="77777777" w:rsidR="00250D64" w:rsidRDefault="00250D64" w:rsidP="00DE2E76">
            <w:pPr>
              <w:pStyle w:val="a7"/>
              <w:spacing w:beforeLines="20" w:before="72" w:afterLines="20" w:after="72"/>
              <w:ind w:rightChars="63" w:right="151"/>
              <w:jc w:val="both"/>
              <w:rPr>
                <w:b w:val="0"/>
                <w:bCs w:val="0"/>
                <w:sz w:val="24"/>
              </w:rPr>
            </w:pPr>
            <w:r>
              <w:rPr>
                <w:b w:val="0"/>
                <w:bCs w:val="0"/>
                <w:sz w:val="24"/>
              </w:rPr>
              <w:lastRenderedPageBreak/>
              <w:t>(3)</w:t>
            </w:r>
          </w:p>
        </w:tc>
        <w:tc>
          <w:tcPr>
            <w:tcW w:w="4868" w:type="dxa"/>
            <w:tcBorders>
              <w:top w:val="nil"/>
              <w:left w:val="nil"/>
              <w:bottom w:val="nil"/>
              <w:right w:val="single" w:sz="4" w:space="0" w:color="auto"/>
            </w:tcBorders>
          </w:tcPr>
          <w:p w14:paraId="5FBA922D" w14:textId="77777777" w:rsidR="00250D64" w:rsidRDefault="00250D64" w:rsidP="00DE2E76">
            <w:pPr>
              <w:pStyle w:val="a7"/>
              <w:spacing w:beforeLines="20" w:before="72" w:afterLines="20" w:after="72"/>
              <w:ind w:rightChars="63" w:right="151"/>
              <w:jc w:val="both"/>
              <w:rPr>
                <w:b w:val="0"/>
                <w:sz w:val="24"/>
              </w:rPr>
            </w:pPr>
            <w:r>
              <w:rPr>
                <w:rFonts w:eastAsia="絡遺羹"/>
                <w:b w:val="0"/>
                <w:sz w:val="24"/>
              </w:rPr>
              <w:t xml:space="preserve">If the tenderer is </w:t>
            </w:r>
            <w:r>
              <w:rPr>
                <w:rFonts w:eastAsia="絡遺羹" w:hint="eastAsia"/>
                <w:b w:val="0"/>
                <w:sz w:val="24"/>
              </w:rPr>
              <w:t xml:space="preserve">an unincorporated or incorporated </w:t>
            </w:r>
            <w:r>
              <w:rPr>
                <w:rFonts w:eastAsia="絡遺羹"/>
                <w:b w:val="0"/>
                <w:sz w:val="24"/>
              </w:rPr>
              <w:t xml:space="preserve">joint venture, each </w:t>
            </w:r>
            <w:r>
              <w:rPr>
                <w:rFonts w:eastAsia="絡遺羹" w:hint="eastAsia"/>
                <w:b w:val="0"/>
                <w:sz w:val="24"/>
              </w:rPr>
              <w:t>participant</w:t>
            </w:r>
            <w:r>
              <w:rPr>
                <w:rFonts w:eastAsia="絡遺羹"/>
                <w:b w:val="0"/>
                <w:sz w:val="24"/>
              </w:rPr>
              <w:t xml:space="preserve"> of the </w:t>
            </w:r>
            <w:r>
              <w:rPr>
                <w:rFonts w:eastAsia="絡遺羹" w:hint="eastAsia"/>
                <w:b w:val="0"/>
                <w:sz w:val="24"/>
              </w:rPr>
              <w:t xml:space="preserve">unincorporated </w:t>
            </w:r>
            <w:r>
              <w:rPr>
                <w:rFonts w:eastAsia="絡遺羹"/>
                <w:b w:val="0"/>
                <w:sz w:val="24"/>
              </w:rPr>
              <w:t xml:space="preserve">joint venture </w:t>
            </w:r>
            <w:r>
              <w:rPr>
                <w:rFonts w:eastAsia="絡遺羹" w:hint="eastAsia"/>
                <w:b w:val="0"/>
                <w:sz w:val="24"/>
              </w:rPr>
              <w:t xml:space="preserve">or shareholder of the incorporated joint venture </w:t>
            </w:r>
            <w:r>
              <w:rPr>
                <w:rFonts w:eastAsia="絡遺羹"/>
                <w:b w:val="0"/>
                <w:sz w:val="24"/>
              </w:rPr>
              <w:t>shall submit such a statement</w:t>
            </w:r>
            <w:r>
              <w:rPr>
                <w:rFonts w:eastAsia="絡遺羹" w:hint="eastAsia"/>
                <w:b w:val="0"/>
                <w:sz w:val="24"/>
              </w:rPr>
              <w:t xml:space="preserve"> separately</w:t>
            </w:r>
            <w:r>
              <w:rPr>
                <w:rFonts w:eastAsia="絡遺羹"/>
                <w:b w:val="0"/>
                <w:sz w:val="24"/>
              </w:rPr>
              <w:t>.</w:t>
            </w:r>
          </w:p>
        </w:tc>
        <w:tc>
          <w:tcPr>
            <w:tcW w:w="3726" w:type="dxa"/>
            <w:tcBorders>
              <w:top w:val="nil"/>
              <w:left w:val="single" w:sz="4" w:space="0" w:color="auto"/>
              <w:bottom w:val="nil"/>
            </w:tcBorders>
          </w:tcPr>
          <w:p w14:paraId="1386AA6F" w14:textId="77777777" w:rsidR="00250D64" w:rsidRDefault="00250D64" w:rsidP="00DE2E76">
            <w:pPr>
              <w:pStyle w:val="a7"/>
              <w:tabs>
                <w:tab w:val="left" w:pos="513"/>
              </w:tabs>
              <w:spacing w:beforeLines="20" w:before="72" w:afterLines="20" w:after="72"/>
              <w:ind w:leftChars="63" w:left="502" w:rightChars="63" w:right="151" w:hangingChars="150" w:hanging="351"/>
              <w:jc w:val="both"/>
              <w:rPr>
                <w:b w:val="0"/>
                <w:bCs w:val="0"/>
                <w:sz w:val="24"/>
              </w:rPr>
            </w:pPr>
          </w:p>
        </w:tc>
      </w:tr>
      <w:tr w:rsidR="00250D64" w:rsidRPr="00073162" w14:paraId="08C498E3" w14:textId="77777777" w:rsidTr="00DE2E76">
        <w:tc>
          <w:tcPr>
            <w:tcW w:w="973" w:type="dxa"/>
            <w:tcBorders>
              <w:top w:val="nil"/>
              <w:bottom w:val="nil"/>
              <w:right w:val="nil"/>
            </w:tcBorders>
          </w:tcPr>
          <w:p w14:paraId="6458D488" w14:textId="77777777" w:rsidR="00250D64" w:rsidRDefault="00250D64" w:rsidP="00DE2E76">
            <w:pPr>
              <w:pStyle w:val="a7"/>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3EDE5CD8" w14:textId="77777777" w:rsidR="00250D64" w:rsidRDefault="00250D64" w:rsidP="00DE2E76">
            <w:pPr>
              <w:pStyle w:val="a7"/>
              <w:spacing w:beforeLines="20" w:before="72" w:afterLines="20" w:after="72"/>
              <w:ind w:rightChars="63" w:right="151"/>
              <w:jc w:val="both"/>
              <w:rPr>
                <w:b w:val="0"/>
                <w:sz w:val="24"/>
              </w:rPr>
            </w:pPr>
            <w:r>
              <w:rPr>
                <w:b w:val="0"/>
                <w:sz w:val="24"/>
              </w:rPr>
              <w:t xml:space="preserve">Where the tenderer (including shareholders and participants in joint ventures) is a company it shall disclose any change of name made during the period of </w:t>
            </w:r>
            <w:r w:rsidRPr="00073162">
              <w:rPr>
                <w:b w:val="0"/>
                <w:color w:val="0000FF"/>
                <w:sz w:val="24"/>
              </w:rPr>
              <w:t>twelve months</w:t>
            </w:r>
            <w:r>
              <w:rPr>
                <w:b w:val="0"/>
                <w:color w:val="0000FF"/>
                <w:sz w:val="24"/>
              </w:rPr>
              <w:t>^</w:t>
            </w:r>
            <w:r>
              <w:rPr>
                <w:b w:val="0"/>
                <w:sz w:val="24"/>
              </w:rPr>
              <w:t xml:space="preserve"> prior to the </w:t>
            </w:r>
            <w:r>
              <w:rPr>
                <w:rFonts w:eastAsia="絡遺羹" w:hint="eastAsia"/>
                <w:b w:val="0"/>
                <w:sz w:val="24"/>
              </w:rPr>
              <w:t>date set for the close of tender, or if this has been extended, the extended date,</w:t>
            </w:r>
            <w:r>
              <w:rPr>
                <w:b w:val="0"/>
                <w:sz w:val="24"/>
              </w:rPr>
              <w:t xml:space="preserve"> and shall include in its statement of all convictions any conviction recorded under any previous name.</w:t>
            </w:r>
          </w:p>
        </w:tc>
        <w:tc>
          <w:tcPr>
            <w:tcW w:w="3726" w:type="dxa"/>
            <w:tcBorders>
              <w:top w:val="nil"/>
              <w:left w:val="single" w:sz="4" w:space="0" w:color="auto"/>
              <w:bottom w:val="nil"/>
            </w:tcBorders>
          </w:tcPr>
          <w:p w14:paraId="739C9279" w14:textId="77777777" w:rsidR="00250D64" w:rsidRDefault="00250D64" w:rsidP="00DE2E76">
            <w:pPr>
              <w:pStyle w:val="a7"/>
              <w:spacing w:beforeLines="20" w:before="72" w:afterLines="20" w:after="72"/>
              <w:ind w:leftChars="63" w:left="465" w:hangingChars="134" w:hanging="314"/>
              <w:jc w:val="both"/>
              <w:rPr>
                <w:b w:val="0"/>
                <w:bCs w:val="0"/>
                <w:sz w:val="24"/>
              </w:rPr>
            </w:pPr>
          </w:p>
          <w:p w14:paraId="58AC1B26" w14:textId="77777777" w:rsidR="00250D64" w:rsidRDefault="00250D64" w:rsidP="00DE2E76">
            <w:pPr>
              <w:pStyle w:val="a7"/>
              <w:spacing w:beforeLines="20" w:before="72" w:afterLines="20" w:after="72"/>
              <w:ind w:leftChars="63" w:left="465" w:hangingChars="134" w:hanging="314"/>
              <w:jc w:val="both"/>
              <w:rPr>
                <w:b w:val="0"/>
                <w:bCs w:val="0"/>
                <w:sz w:val="24"/>
              </w:rPr>
            </w:pPr>
          </w:p>
          <w:p w14:paraId="5D9A6FEC" w14:textId="77777777" w:rsidR="00250D64" w:rsidRPr="00073162" w:rsidRDefault="00250D64" w:rsidP="00DE2E76">
            <w:pPr>
              <w:pStyle w:val="a7"/>
              <w:spacing w:beforeLines="20" w:before="72" w:afterLines="20" w:after="72"/>
              <w:ind w:leftChars="63" w:left="465" w:right="152" w:hangingChars="134" w:hanging="314"/>
              <w:jc w:val="both"/>
              <w:rPr>
                <w:b w:val="0"/>
                <w:bCs w:val="0"/>
                <w:color w:val="0000FF"/>
                <w:sz w:val="24"/>
              </w:rPr>
            </w:pPr>
            <w:r>
              <w:rPr>
                <w:b w:val="0"/>
                <w:bCs w:val="0"/>
                <w:color w:val="0000FF"/>
                <w:sz w:val="24"/>
              </w:rPr>
              <w:t>^</w:t>
            </w:r>
            <w:r w:rsidRPr="00073162">
              <w:rPr>
                <w:b w:val="0"/>
                <w:bCs w:val="0"/>
                <w:color w:val="0000FF"/>
                <w:sz w:val="24"/>
              </w:rPr>
              <w:tab/>
            </w:r>
            <w:r w:rsidRPr="00E80470">
              <w:rPr>
                <w:b w:val="0"/>
                <w:bCs w:val="0"/>
                <w:sz w:val="24"/>
              </w:rPr>
              <w:t xml:space="preserve">[or other period specified by the </w:t>
            </w:r>
            <w:r w:rsidRPr="00C01034">
              <w:rPr>
                <w:rFonts w:hint="eastAsia"/>
                <w:b w:val="0"/>
                <w:bCs w:val="0"/>
                <w:i/>
                <w:sz w:val="24"/>
                <w:lang w:eastAsia="zh-HK"/>
              </w:rPr>
              <w:t>Service Manager</w:t>
            </w:r>
            <w:r w:rsidRPr="00C01034">
              <w:rPr>
                <w:b w:val="0"/>
                <w:bCs w:val="0"/>
                <w:sz w:val="24"/>
              </w:rPr>
              <w:t xml:space="preserve"> where appropriate to cope with the assess</w:t>
            </w:r>
            <w:r w:rsidRPr="00A039F1">
              <w:rPr>
                <w:b w:val="0"/>
                <w:bCs w:val="0"/>
                <w:sz w:val="24"/>
              </w:rPr>
              <w:t>ment period for tender evaluation using the Marking Scheme.]</w:t>
            </w:r>
          </w:p>
        </w:tc>
      </w:tr>
      <w:tr w:rsidR="00250D64" w:rsidRPr="00073162" w14:paraId="584A1E39" w14:textId="77777777" w:rsidTr="00DE2E76">
        <w:tc>
          <w:tcPr>
            <w:tcW w:w="973" w:type="dxa"/>
            <w:tcBorders>
              <w:top w:val="nil"/>
              <w:bottom w:val="single" w:sz="4" w:space="0" w:color="auto"/>
              <w:right w:val="nil"/>
            </w:tcBorders>
          </w:tcPr>
          <w:p w14:paraId="792A025F" w14:textId="77777777" w:rsidR="00250D64" w:rsidRDefault="00250D64" w:rsidP="00DE2E76">
            <w:pPr>
              <w:pStyle w:val="a7"/>
              <w:spacing w:beforeLines="20" w:before="72" w:afterLines="20" w:after="72"/>
              <w:ind w:rightChars="63" w:right="151"/>
              <w:jc w:val="both"/>
              <w:rPr>
                <w:b w:val="0"/>
                <w:bCs w:val="0"/>
                <w:sz w:val="24"/>
              </w:rPr>
            </w:pPr>
            <w:proofErr w:type="gramStart"/>
            <w:r w:rsidRPr="00073162">
              <w:rPr>
                <w:rFonts w:hint="eastAsia"/>
                <w:b w:val="0"/>
                <w:bCs w:val="0"/>
                <w:color w:val="0000FF"/>
                <w:sz w:val="24"/>
              </w:rPr>
              <w:t>#</w:t>
            </w:r>
            <w:r>
              <w:rPr>
                <w:b w:val="0"/>
                <w:bCs w:val="0"/>
                <w:sz w:val="24"/>
              </w:rPr>
              <w:t>(</w:t>
            </w:r>
            <w:proofErr w:type="gramEnd"/>
            <w:r>
              <w:rPr>
                <w:b w:val="0"/>
                <w:bCs w:val="0"/>
                <w:sz w:val="24"/>
              </w:rPr>
              <w:t>5)</w:t>
            </w:r>
          </w:p>
        </w:tc>
        <w:tc>
          <w:tcPr>
            <w:tcW w:w="4868" w:type="dxa"/>
            <w:tcBorders>
              <w:top w:val="nil"/>
              <w:left w:val="nil"/>
              <w:bottom w:val="single" w:sz="4" w:space="0" w:color="auto"/>
              <w:right w:val="single" w:sz="4" w:space="0" w:color="auto"/>
            </w:tcBorders>
          </w:tcPr>
          <w:p w14:paraId="5BA9E268" w14:textId="77777777" w:rsidR="00250D64" w:rsidRDefault="00250D64" w:rsidP="00DE2E76">
            <w:pPr>
              <w:pStyle w:val="a7"/>
              <w:spacing w:beforeLines="20" w:before="72" w:afterLines="20" w:after="72"/>
              <w:ind w:rightChars="63" w:right="151"/>
              <w:jc w:val="both"/>
              <w:rPr>
                <w:b w:val="0"/>
                <w:sz w:val="24"/>
              </w:rPr>
            </w:pPr>
            <w:r>
              <w:rPr>
                <w:rFonts w:eastAsia="絡遺羹"/>
                <w:b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1F5F9F34" w14:textId="77777777" w:rsidR="00250D64" w:rsidRPr="00073162" w:rsidRDefault="00250D64" w:rsidP="00DE2E76">
            <w:pPr>
              <w:pStyle w:val="a7"/>
              <w:tabs>
                <w:tab w:val="left" w:pos="513"/>
              </w:tabs>
              <w:spacing w:beforeLines="20" w:before="72" w:afterLines="20" w:after="72"/>
              <w:ind w:leftChars="63" w:left="502" w:rightChars="63" w:right="151" w:hangingChars="150" w:hanging="351"/>
              <w:jc w:val="both"/>
              <w:rPr>
                <w:b w:val="0"/>
                <w:bCs w:val="0"/>
                <w:color w:val="0000FF"/>
                <w:sz w:val="24"/>
              </w:rPr>
            </w:pPr>
            <w:r w:rsidRPr="00073162">
              <w:rPr>
                <w:rFonts w:hint="eastAsia"/>
                <w:b w:val="0"/>
                <w:bCs w:val="0"/>
                <w:color w:val="0000FF"/>
                <w:sz w:val="24"/>
              </w:rPr>
              <w:t xml:space="preserve"># </w:t>
            </w:r>
            <w:r w:rsidRPr="00073162">
              <w:rPr>
                <w:b w:val="0"/>
                <w:bCs w:val="0"/>
                <w:color w:val="0000FF"/>
                <w:sz w:val="24"/>
              </w:rPr>
              <w:tab/>
            </w:r>
            <w:proofErr w:type="gramStart"/>
            <w:r w:rsidRPr="00E80470">
              <w:rPr>
                <w:rFonts w:hint="eastAsia"/>
                <w:b w:val="0"/>
                <w:bCs w:val="0"/>
                <w:sz w:val="24"/>
              </w:rPr>
              <w:t>For</w:t>
            </w:r>
            <w:proofErr w:type="gramEnd"/>
            <w:r w:rsidRPr="00E80470">
              <w:rPr>
                <w:rFonts w:hint="eastAsia"/>
                <w:b w:val="0"/>
                <w:bCs w:val="0"/>
                <w:sz w:val="24"/>
              </w:rPr>
              <w:t xml:space="preserve"> use in tenders which EMSTF </w:t>
            </w:r>
            <w:r w:rsidRPr="00C01034">
              <w:rPr>
                <w:rFonts w:hint="eastAsia"/>
                <w:b w:val="0"/>
                <w:bCs w:val="0"/>
                <w:sz w:val="24"/>
              </w:rPr>
              <w:t>is eligible to bid</w:t>
            </w:r>
          </w:p>
          <w:p w14:paraId="326B4530" w14:textId="77777777" w:rsidR="00250D64" w:rsidRPr="00073162" w:rsidRDefault="00250D64" w:rsidP="00DE2E76">
            <w:pPr>
              <w:pStyle w:val="a7"/>
              <w:tabs>
                <w:tab w:val="left" w:pos="513"/>
              </w:tabs>
              <w:spacing w:beforeLines="20" w:before="72" w:afterLines="20" w:after="72"/>
              <w:ind w:leftChars="63" w:left="511" w:hangingChars="154" w:hanging="360"/>
              <w:jc w:val="both"/>
              <w:rPr>
                <w:b w:val="0"/>
                <w:bCs w:val="0"/>
                <w:color w:val="0000FF"/>
                <w:sz w:val="24"/>
              </w:rPr>
            </w:pPr>
          </w:p>
        </w:tc>
      </w:tr>
    </w:tbl>
    <w:p w14:paraId="527CCDD1" w14:textId="18F0B554" w:rsidR="003642BE" w:rsidRPr="00250D64" w:rsidRDefault="003642BE" w:rsidP="00250D64">
      <w:bookmarkStart w:id="0" w:name="_GoBack"/>
      <w:bookmarkEnd w:id="0"/>
    </w:p>
    <w:sectPr w:rsidR="003642BE" w:rsidRPr="00250D64"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1B937FCD"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lang w:eastAsia="zh-HK"/>
      </w:rPr>
      <w:t>29.4</w:t>
    </w:r>
    <w:r w:rsidRPr="004568A3">
      <w:rPr>
        <w:rFonts w:hint="eastAsia"/>
        <w:b/>
        <w:bCs/>
        <w:i/>
        <w:iCs/>
      </w:rPr>
      <w:t>.</w:t>
    </w:r>
    <w:r w:rsidRPr="004568A3">
      <w:rPr>
        <w:b/>
        <w:bCs/>
        <w:i/>
        <w:iCs/>
      </w:rPr>
      <w:t>2022</w:t>
    </w:r>
    <w:r>
      <w:rPr>
        <w:b/>
        <w:bCs/>
        <w:i/>
        <w:iCs/>
      </w:rPr>
      <w:t>)</w:t>
    </w:r>
    <w:r w:rsidR="002A6A6E">
      <w:rPr>
        <w:b/>
        <w:bCs/>
        <w:i/>
        <w:iCs/>
      </w:rPr>
      <w:tab/>
    </w:r>
    <w:r w:rsidRPr="004568A3">
      <w:rPr>
        <w:b/>
        <w:bCs/>
        <w:i/>
        <w:iCs/>
      </w:rPr>
      <w:t xml:space="preserve">Page GCT </w:t>
    </w:r>
    <w:r w:rsidR="00A748A0">
      <w:rPr>
        <w:b/>
        <w:bCs/>
        <w:i/>
        <w:iCs/>
      </w:rPr>
      <w:t>2</w:t>
    </w:r>
    <w:r w:rsidR="00250D64">
      <w:rPr>
        <w:b/>
        <w:bCs/>
        <w:i/>
        <w:iCs/>
      </w:rPr>
      <w:t>7</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250D64">
      <w:rPr>
        <w:b/>
        <w:bCs/>
        <w:i/>
        <w:iCs/>
        <w:noProof/>
      </w:rPr>
      <w:t>2</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250D64">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35D01"/>
    <w:rsid w:val="00145D68"/>
    <w:rsid w:val="00170C6A"/>
    <w:rsid w:val="001F0FDB"/>
    <w:rsid w:val="002106FC"/>
    <w:rsid w:val="00250D64"/>
    <w:rsid w:val="00275AAC"/>
    <w:rsid w:val="002A6A6E"/>
    <w:rsid w:val="003642BE"/>
    <w:rsid w:val="00387EC4"/>
    <w:rsid w:val="00396943"/>
    <w:rsid w:val="003C5C31"/>
    <w:rsid w:val="004415E6"/>
    <w:rsid w:val="004568A3"/>
    <w:rsid w:val="00543950"/>
    <w:rsid w:val="00583E78"/>
    <w:rsid w:val="005F7701"/>
    <w:rsid w:val="00647613"/>
    <w:rsid w:val="00650F87"/>
    <w:rsid w:val="00656D75"/>
    <w:rsid w:val="007D7434"/>
    <w:rsid w:val="00800F31"/>
    <w:rsid w:val="008529BC"/>
    <w:rsid w:val="00873181"/>
    <w:rsid w:val="008A26C9"/>
    <w:rsid w:val="008A298E"/>
    <w:rsid w:val="00931037"/>
    <w:rsid w:val="00957D06"/>
    <w:rsid w:val="00A748A0"/>
    <w:rsid w:val="00AC7B9C"/>
    <w:rsid w:val="00AD4332"/>
    <w:rsid w:val="00B55637"/>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70F16"/>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638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3</cp:revision>
  <dcterms:created xsi:type="dcterms:W3CDTF">2022-04-12T02:31:00Z</dcterms:created>
  <dcterms:modified xsi:type="dcterms:W3CDTF">2022-04-12T02:32:00Z</dcterms:modified>
</cp:coreProperties>
</file>