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543950" w14:paraId="304B5B5D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286DFE97" w14:textId="77777777" w:rsidR="00543950" w:rsidRDefault="00543950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1ECCC26C" w14:textId="77777777" w:rsidR="00543950" w:rsidRDefault="00543950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543950" w14:paraId="5D4943BD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61E" w14:textId="77777777" w:rsidR="00543950" w:rsidRDefault="00543950" w:rsidP="00DE2E76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12  Tenders in H</w:t>
            </w:r>
            <w:r>
              <w:rPr>
                <w:rFonts w:hint="eastAsia"/>
                <w:b/>
                <w:bCs/>
                <w:color w:val="000000"/>
                <w:spacing w:val="-3"/>
                <w:lang w:eastAsia="zh-HK"/>
              </w:rPr>
              <w:t xml:space="preserve">ong </w:t>
            </w:r>
            <w:r>
              <w:rPr>
                <w:b/>
                <w:bCs/>
                <w:color w:val="000000"/>
                <w:spacing w:val="-3"/>
              </w:rPr>
              <w:t>K</w:t>
            </w:r>
            <w:r>
              <w:rPr>
                <w:rFonts w:hint="eastAsia"/>
                <w:b/>
                <w:bCs/>
                <w:color w:val="000000"/>
                <w:spacing w:val="-3"/>
                <w:lang w:eastAsia="zh-HK"/>
              </w:rPr>
              <w:t>ong</w:t>
            </w:r>
            <w:r>
              <w:rPr>
                <w:b/>
                <w:bCs/>
                <w:color w:val="000000"/>
                <w:spacing w:val="-3"/>
              </w:rPr>
              <w:t xml:space="preserve"> dollars</w:t>
            </w:r>
          </w:p>
        </w:tc>
      </w:tr>
      <w:tr w:rsidR="00543950" w14:paraId="0DB9BD2F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781" w14:textId="77777777" w:rsidR="00543950" w:rsidRDefault="00543950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Unless otherwise provided, the tender shall be in </w:t>
            </w:r>
            <w:smartTag w:uri="urn:schemas-microsoft-com:office:smarttags" w:element="place">
              <w:r>
                <w:rPr>
                  <w:rFonts w:hint="eastAsia"/>
                  <w:color w:val="000000"/>
                  <w:spacing w:val="-3"/>
                </w:rPr>
                <w:t>Hong Kong</w:t>
              </w:r>
            </w:smartTag>
            <w:r>
              <w:rPr>
                <w:rFonts w:hint="eastAsia"/>
                <w:color w:val="000000"/>
                <w:spacing w:val="-3"/>
              </w:rPr>
              <w:t xml:space="preserve"> dollars.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4A4" w14:textId="77777777" w:rsidR="00543950" w:rsidRDefault="00543950" w:rsidP="00DE2E7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Note:</w:t>
            </w:r>
            <w:r>
              <w:rPr>
                <w:color w:val="000000"/>
                <w:spacing w:val="-3"/>
              </w:rPr>
              <w:tab/>
            </w:r>
            <w:r>
              <w:rPr>
                <w:rFonts w:hint="eastAsia"/>
                <w:color w:val="000000"/>
                <w:spacing w:val="-3"/>
              </w:rPr>
              <w:t>Please refer to SPR 355 for tenders in foreign currencies.</w:t>
            </w:r>
          </w:p>
        </w:tc>
      </w:tr>
    </w:tbl>
    <w:p w14:paraId="527CCDD1" w14:textId="18F0B554" w:rsidR="003642BE" w:rsidRPr="00543950" w:rsidRDefault="003642BE" w:rsidP="00543950">
      <w:bookmarkStart w:id="0" w:name="_GoBack"/>
      <w:bookmarkEnd w:id="0"/>
    </w:p>
    <w:sectPr w:rsidR="003642BE" w:rsidRPr="00543950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70503ECB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275AAC">
      <w:rPr>
        <w:b/>
        <w:bCs/>
        <w:i/>
        <w:iCs/>
      </w:rPr>
      <w:t>1</w:t>
    </w:r>
    <w:r w:rsidR="00543950">
      <w:rPr>
        <w:b/>
        <w:bCs/>
        <w:i/>
        <w:iCs/>
      </w:rPr>
      <w:t>2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543950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543950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70C6A"/>
    <w:rsid w:val="001F0FDB"/>
    <w:rsid w:val="00275AAC"/>
    <w:rsid w:val="002A6A6E"/>
    <w:rsid w:val="003642BE"/>
    <w:rsid w:val="00387EC4"/>
    <w:rsid w:val="00396943"/>
    <w:rsid w:val="004568A3"/>
    <w:rsid w:val="00543950"/>
    <w:rsid w:val="00583E78"/>
    <w:rsid w:val="00647613"/>
    <w:rsid w:val="00656D75"/>
    <w:rsid w:val="007D7434"/>
    <w:rsid w:val="00800F31"/>
    <w:rsid w:val="00873181"/>
    <w:rsid w:val="008A26C9"/>
    <w:rsid w:val="008A298E"/>
    <w:rsid w:val="00931037"/>
    <w:rsid w:val="00AC7B9C"/>
    <w:rsid w:val="00B55637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2022-04-12T02:11:00Z</dcterms:created>
  <dcterms:modified xsi:type="dcterms:W3CDTF">2022-04-12T02:12:00Z</dcterms:modified>
</cp:coreProperties>
</file>