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RPr="00811E79" w:rsidTr="008E5326">
        <w:trPr>
          <w:tblHeader/>
        </w:trPr>
        <w:tc>
          <w:tcPr>
            <w:tcW w:w="5247" w:type="dxa"/>
            <w:tcBorders>
              <w:bottom w:val="single" w:sz="4" w:space="0" w:color="auto"/>
            </w:tcBorders>
          </w:tcPr>
          <w:p w:rsidR="00427391" w:rsidRPr="00811E79" w:rsidRDefault="00427391" w:rsidP="00453EC7">
            <w:pPr>
              <w:pStyle w:val="a9"/>
              <w:spacing w:beforeLines="30" w:before="108" w:afterLines="30" w:after="108"/>
              <w:rPr>
                <w:sz w:val="24"/>
              </w:rPr>
            </w:pPr>
            <w:bookmarkStart w:id="0" w:name="_GoBack"/>
            <w:bookmarkEnd w:id="0"/>
            <w:r w:rsidRPr="00811E79">
              <w:rPr>
                <w:sz w:val="24"/>
              </w:rPr>
              <w:t>Clause</w:t>
            </w:r>
          </w:p>
        </w:tc>
        <w:tc>
          <w:tcPr>
            <w:tcW w:w="4321" w:type="dxa"/>
            <w:tcBorders>
              <w:bottom w:val="single" w:sz="4" w:space="0" w:color="auto"/>
            </w:tcBorders>
          </w:tcPr>
          <w:p w:rsidR="00427391" w:rsidRPr="00811E79" w:rsidRDefault="00427391" w:rsidP="00453EC7">
            <w:pPr>
              <w:pStyle w:val="a9"/>
              <w:spacing w:beforeLines="30" w:before="108" w:afterLines="30" w:after="108"/>
              <w:rPr>
                <w:sz w:val="24"/>
              </w:rPr>
            </w:pPr>
            <w:r w:rsidRPr="00811E79">
              <w:rPr>
                <w:sz w:val="24"/>
              </w:rPr>
              <w:t>Remarks/Guidelines</w:t>
            </w:r>
          </w:p>
        </w:tc>
      </w:tr>
      <w:tr w:rsidR="008E5326" w:rsidRPr="00811E79" w:rsidTr="00820936">
        <w:tc>
          <w:tcPr>
            <w:tcW w:w="9568" w:type="dxa"/>
            <w:gridSpan w:val="2"/>
            <w:tcBorders>
              <w:top w:val="single" w:sz="4" w:space="0" w:color="auto"/>
              <w:bottom w:val="nil"/>
            </w:tcBorders>
          </w:tcPr>
          <w:p w:rsidR="008E5326" w:rsidRPr="00811E79" w:rsidRDefault="0004295E" w:rsidP="00E82F49">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811E79">
              <w:rPr>
                <w:bCs w:val="0"/>
                <w:sz w:val="24"/>
                <w:lang w:eastAsia="zh-HK"/>
              </w:rPr>
              <w:t xml:space="preserve">NTT </w:t>
            </w:r>
            <w:r w:rsidR="00E82F49" w:rsidRPr="00811E79">
              <w:rPr>
                <w:bCs w:val="0"/>
                <w:sz w:val="24"/>
                <w:lang w:eastAsia="zh-HK"/>
              </w:rPr>
              <w:t>C6</w:t>
            </w:r>
            <w:r w:rsidR="00C366F6" w:rsidRPr="00811E79">
              <w:rPr>
                <w:bCs w:val="0"/>
                <w:sz w:val="24"/>
                <w:lang w:eastAsia="zh-HK"/>
              </w:rPr>
              <w:t xml:space="preserve">   </w:t>
            </w:r>
            <w:r w:rsidR="00F8569D" w:rsidRPr="00811E79">
              <w:rPr>
                <w:bCs w:val="0"/>
                <w:sz w:val="24"/>
                <w:lang w:eastAsia="zh-HK"/>
              </w:rPr>
              <w:t xml:space="preserve"> </w:t>
            </w:r>
            <w:r w:rsidR="00E82F49" w:rsidRPr="00811E79">
              <w:rPr>
                <w:bCs w:val="0"/>
                <w:sz w:val="24"/>
                <w:lang w:eastAsia="zh-HK"/>
              </w:rPr>
              <w:t>Dispute Resolution Advisor system</w:t>
            </w:r>
            <w:r w:rsidR="007D5EA5" w:rsidRPr="00811E79">
              <w:rPr>
                <w:bCs w:val="0"/>
                <w:lang w:eastAsia="zh-HK"/>
              </w:rPr>
              <w:t xml:space="preserve">  </w:t>
            </w:r>
            <w:r w:rsidR="007D5EA5" w:rsidRPr="00811E79">
              <w:rPr>
                <w:b w:val="0"/>
                <w:bCs w:val="0"/>
                <w:i/>
                <w:color w:val="0000FF"/>
                <w:sz w:val="24"/>
                <w:lang w:eastAsia="zh-HK"/>
              </w:rPr>
              <w:t>[optional clause]</w:t>
            </w:r>
          </w:p>
        </w:tc>
      </w:tr>
      <w:tr w:rsidR="00E82F49" w:rsidRPr="00E0070E" w:rsidTr="00201958">
        <w:tc>
          <w:tcPr>
            <w:tcW w:w="5248" w:type="dxa"/>
            <w:tcBorders>
              <w:top w:val="single" w:sz="4" w:space="0" w:color="auto"/>
              <w:left w:val="single" w:sz="4" w:space="0" w:color="auto"/>
              <w:bottom w:val="single" w:sz="4" w:space="0" w:color="auto"/>
              <w:right w:val="single" w:sz="4" w:space="0" w:color="auto"/>
            </w:tcBorders>
          </w:tcPr>
          <w:p w:rsidR="00E82F49" w:rsidRPr="00811E79" w:rsidRDefault="00E82F49" w:rsidP="00201958">
            <w:pPr>
              <w:jc w:val="both"/>
            </w:pPr>
            <w:r w:rsidRPr="00811E79">
              <w:rPr>
                <w:rFonts w:hint="eastAsia"/>
                <w:lang w:eastAsia="zh-HK"/>
              </w:rPr>
              <w:t>(</w:t>
            </w:r>
            <w:r w:rsidRPr="00811E79">
              <w:t>1</w:t>
            </w:r>
            <w:r w:rsidRPr="00811E79">
              <w:rPr>
                <w:rFonts w:hint="eastAsia"/>
                <w:lang w:eastAsia="zh-HK"/>
              </w:rPr>
              <w:t>)</w:t>
            </w:r>
            <w:r w:rsidRPr="00811E79">
              <w:tab/>
            </w:r>
            <w:r w:rsidRPr="00811E79">
              <w:rPr>
                <w:rFonts w:hint="eastAsia"/>
              </w:rPr>
              <w:t xml:space="preserve">This contract incorporates the Dispute Resolution Advisor </w:t>
            </w:r>
            <w:r w:rsidRPr="00811E79">
              <w:rPr>
                <w:rFonts w:hint="eastAsia"/>
                <w:lang w:eastAsia="zh-HK"/>
              </w:rPr>
              <w:t>s</w:t>
            </w:r>
            <w:r w:rsidRPr="00811E79">
              <w:rPr>
                <w:rFonts w:hint="eastAsia"/>
              </w:rPr>
              <w:t>ystem</w:t>
            </w:r>
            <w:r w:rsidRPr="00811E79">
              <w:t xml:space="preserve"> as stipulated in the </w:t>
            </w:r>
            <w:r w:rsidRPr="00811E79">
              <w:rPr>
                <w:rFonts w:hint="eastAsia"/>
                <w:lang w:eastAsia="zh-HK"/>
              </w:rPr>
              <w:t xml:space="preserve">Clause </w:t>
            </w:r>
            <w:r w:rsidRPr="00811E79">
              <w:rPr>
                <w:rFonts w:hint="eastAsia"/>
                <w:color w:val="0000FF"/>
                <w:lang w:eastAsia="zh-HK"/>
              </w:rPr>
              <w:t>[G2</w:t>
            </w:r>
            <w:proofErr w:type="gramStart"/>
            <w:r w:rsidRPr="00811E79">
              <w:rPr>
                <w:rFonts w:hint="eastAsia"/>
                <w:color w:val="0000FF"/>
                <w:lang w:eastAsia="zh-HK"/>
              </w:rPr>
              <w:t>]</w:t>
            </w:r>
            <w:r w:rsidRPr="00811E79">
              <w:rPr>
                <w:rFonts w:hint="eastAsia"/>
                <w:color w:val="0000FF"/>
                <w:vertAlign w:val="superscript"/>
                <w:lang w:eastAsia="zh-HK"/>
              </w:rPr>
              <w:t>#</w:t>
            </w:r>
            <w:proofErr w:type="gramEnd"/>
            <w:r w:rsidRPr="00811E79">
              <w:rPr>
                <w:rFonts w:hint="eastAsia"/>
                <w:lang w:eastAsia="zh-HK"/>
              </w:rPr>
              <w:t xml:space="preserve"> of the </w:t>
            </w:r>
            <w:r w:rsidRPr="00811E79">
              <w:rPr>
                <w:rFonts w:hint="eastAsia"/>
                <w:i/>
                <w:spacing w:val="-3"/>
                <w:lang w:eastAsia="zh-HK"/>
              </w:rPr>
              <w:t>additional conditions of contract</w:t>
            </w:r>
            <w:r w:rsidRPr="00811E79">
              <w:rPr>
                <w:rFonts w:hint="eastAsia"/>
              </w:rPr>
              <w:t>.</w:t>
            </w:r>
          </w:p>
          <w:p w:rsidR="00E82F49" w:rsidRPr="00811E79" w:rsidRDefault="00E82F49" w:rsidP="00201958">
            <w:pPr>
              <w:jc w:val="both"/>
              <w:rPr>
                <w:lang w:eastAsia="zh-HK"/>
              </w:rPr>
            </w:pPr>
          </w:p>
          <w:p w:rsidR="00E82F49" w:rsidRPr="00811E79" w:rsidRDefault="00E82F49" w:rsidP="00201958">
            <w:pPr>
              <w:jc w:val="both"/>
            </w:pPr>
            <w:r w:rsidRPr="00811E79">
              <w:rPr>
                <w:rFonts w:hint="eastAsia"/>
                <w:lang w:eastAsia="zh-HK"/>
              </w:rPr>
              <w:t>(</w:t>
            </w:r>
            <w:r w:rsidRPr="00811E79">
              <w:t>2</w:t>
            </w:r>
            <w:r w:rsidRPr="00811E79">
              <w:rPr>
                <w:rFonts w:hint="eastAsia"/>
                <w:lang w:eastAsia="zh-HK"/>
              </w:rPr>
              <w:t>)</w:t>
            </w:r>
            <w:r w:rsidRPr="00811E79">
              <w:tab/>
            </w:r>
            <w:r w:rsidRPr="00811E79">
              <w:rPr>
                <w:rFonts w:hint="eastAsia"/>
              </w:rPr>
              <w:t>A list of candidates for the position of Dispute Resolution Advisor (</w:t>
            </w:r>
            <w:r w:rsidRPr="00811E79">
              <w:t>“</w:t>
            </w:r>
            <w:r w:rsidRPr="00811E79">
              <w:rPr>
                <w:rFonts w:hint="eastAsia"/>
              </w:rPr>
              <w:t>DRA</w:t>
            </w:r>
            <w:r w:rsidRPr="00811E79">
              <w:t>”</w:t>
            </w:r>
            <w:r w:rsidRPr="00811E79">
              <w:rPr>
                <w:rFonts w:hint="eastAsia"/>
              </w:rPr>
              <w:t xml:space="preserve">) </w:t>
            </w:r>
            <w:r w:rsidRPr="00811E79">
              <w:t xml:space="preserve">will be sent to the </w:t>
            </w:r>
            <w:r w:rsidRPr="00811E79">
              <w:rPr>
                <w:i/>
              </w:rPr>
              <w:t>Contractor</w:t>
            </w:r>
            <w:r w:rsidRPr="00811E79">
              <w:t xml:space="preserve"> after the award of th</w:t>
            </w:r>
            <w:r w:rsidRPr="00811E79">
              <w:rPr>
                <w:rFonts w:hint="eastAsia"/>
              </w:rPr>
              <w:t>is</w:t>
            </w:r>
            <w:r w:rsidRPr="00811E79">
              <w:t xml:space="preserve"> </w:t>
            </w:r>
            <w:r w:rsidRPr="00811E79">
              <w:rPr>
                <w:rFonts w:hint="eastAsia"/>
              </w:rPr>
              <w:t>c</w:t>
            </w:r>
            <w:r w:rsidRPr="00811E79">
              <w:t xml:space="preserve">ontract. </w:t>
            </w:r>
            <w:r w:rsidRPr="00811E79">
              <w:rPr>
                <w:rFonts w:hint="eastAsia"/>
              </w:rPr>
              <w:t xml:space="preserve">  </w:t>
            </w:r>
          </w:p>
          <w:p w:rsidR="00E82F49" w:rsidRPr="00811E79" w:rsidRDefault="00E82F49" w:rsidP="00201958">
            <w:pPr>
              <w:ind w:left="552" w:hangingChars="230" w:hanging="552"/>
              <w:jc w:val="both"/>
            </w:pPr>
          </w:p>
          <w:p w:rsidR="00E82F49" w:rsidRPr="00811E79" w:rsidRDefault="00E82F49" w:rsidP="00201958">
            <w:pPr>
              <w:ind w:left="552" w:hangingChars="230" w:hanging="552"/>
              <w:jc w:val="both"/>
            </w:pPr>
            <w:r w:rsidRPr="00811E79">
              <w:tab/>
            </w:r>
          </w:p>
        </w:tc>
        <w:tc>
          <w:tcPr>
            <w:tcW w:w="4320" w:type="dxa"/>
            <w:tcBorders>
              <w:top w:val="single" w:sz="4" w:space="0" w:color="auto"/>
              <w:left w:val="single" w:sz="4" w:space="0" w:color="auto"/>
              <w:bottom w:val="single" w:sz="4" w:space="0" w:color="auto"/>
              <w:right w:val="single" w:sz="4" w:space="0" w:color="auto"/>
            </w:tcBorders>
          </w:tcPr>
          <w:p w:rsidR="00E82F49" w:rsidRPr="00811E79" w:rsidRDefault="00E82F49" w:rsidP="00201958">
            <w:pPr>
              <w:ind w:leftChars="63" w:left="151"/>
              <w:jc w:val="both"/>
            </w:pPr>
            <w:r w:rsidRPr="00811E79">
              <w:rPr>
                <w:rFonts w:hint="eastAsia"/>
                <w:lang w:eastAsia="zh-HK"/>
              </w:rPr>
              <w:t xml:space="preserve">Please refer to </w:t>
            </w:r>
            <w:r w:rsidRPr="00811E79">
              <w:rPr>
                <w:rFonts w:hint="eastAsia"/>
              </w:rPr>
              <w:t>DEVB memo ref.</w:t>
            </w:r>
            <w:r w:rsidRPr="00811E79">
              <w:t xml:space="preserve"> (02BBG-01-5) date</w:t>
            </w:r>
            <w:r w:rsidRPr="00811E79">
              <w:rPr>
                <w:rFonts w:hint="eastAsia"/>
              </w:rPr>
              <w:t xml:space="preserve">d </w:t>
            </w:r>
            <w:r w:rsidRPr="00811E79">
              <w:t>24.3.2011</w:t>
            </w:r>
            <w:r w:rsidRPr="00811E79">
              <w:rPr>
                <w:rFonts w:hint="eastAsia"/>
              </w:rPr>
              <w:t xml:space="preserve"> and DEVB(W) 510/83/03 dated 15.10.2014</w:t>
            </w:r>
            <w:r w:rsidR="00C06374" w:rsidRPr="00811E79">
              <w:t xml:space="preserve"> and 11.2.2021</w:t>
            </w:r>
            <w:r w:rsidRPr="00811E79">
              <w:t>.</w:t>
            </w:r>
          </w:p>
          <w:p w:rsidR="00E82F49" w:rsidRPr="00811E79" w:rsidRDefault="00E82F49" w:rsidP="00201958">
            <w:pPr>
              <w:ind w:leftChars="63" w:left="151"/>
              <w:jc w:val="both"/>
            </w:pPr>
          </w:p>
          <w:p w:rsidR="00E82F49" w:rsidRPr="00811E79" w:rsidRDefault="00C06374" w:rsidP="00E82F49">
            <w:pPr>
              <w:widowControl/>
              <w:numPr>
                <w:ilvl w:val="0"/>
                <w:numId w:val="37"/>
              </w:numPr>
              <w:tabs>
                <w:tab w:val="clear" w:pos="996"/>
                <w:tab w:val="num" w:pos="512"/>
              </w:tabs>
              <w:overflowPunct w:val="0"/>
              <w:autoSpaceDE w:val="0"/>
              <w:autoSpaceDN w:val="0"/>
              <w:adjustRightInd w:val="0"/>
              <w:spacing w:line="300" w:lineRule="exact"/>
              <w:ind w:left="512" w:hanging="360"/>
              <w:jc w:val="both"/>
              <w:textAlignment w:val="baseline"/>
            </w:pPr>
            <w:r w:rsidRPr="00811E79">
              <w:t>For NEC contracts, as they already entail partnering spirit and associated project management tools to facilitate early resolution of problems, the adoption of DRA System is NOT mandatory. It will be up to the procuring departments to adopt the DRA System in individual contracts if the engagement of DRA would offer additional merits in facilitating dispute avoidance and resolution.</w:t>
            </w:r>
          </w:p>
          <w:p w:rsidR="004920BB" w:rsidRPr="00811E79" w:rsidRDefault="004920BB" w:rsidP="004920BB">
            <w:pPr>
              <w:pStyle w:val="a9"/>
              <w:spacing w:beforeLines="20" w:before="72" w:afterLines="20" w:after="72"/>
              <w:ind w:leftChars="63" w:left="151" w:rightChars="60" w:right="144"/>
              <w:jc w:val="both"/>
              <w:rPr>
                <w:b w:val="0"/>
                <w:bCs w:val="0"/>
                <w:color w:val="0000FF"/>
                <w:sz w:val="24"/>
              </w:rPr>
            </w:pPr>
          </w:p>
          <w:p w:rsidR="001B3B1E" w:rsidRPr="007D5EA5" w:rsidRDefault="001B3B1E" w:rsidP="004920BB">
            <w:pPr>
              <w:pStyle w:val="a9"/>
              <w:spacing w:beforeLines="20" w:before="72" w:afterLines="20" w:after="72"/>
              <w:ind w:leftChars="63" w:left="151" w:rightChars="60" w:right="144"/>
              <w:jc w:val="both"/>
              <w:rPr>
                <w:color w:val="0000FF"/>
                <w:lang w:eastAsia="zh-HK"/>
              </w:rPr>
            </w:pPr>
            <w:r w:rsidRPr="00811E79">
              <w:rPr>
                <w:b w:val="0"/>
                <w:bCs w:val="0"/>
                <w:color w:val="0000FF"/>
                <w:sz w:val="24"/>
              </w:rPr>
              <w:t># Insert appropriate reference.</w:t>
            </w:r>
          </w:p>
          <w:p w:rsidR="004920BB" w:rsidRPr="00E0070E" w:rsidRDefault="004920BB" w:rsidP="00FB3C8D">
            <w:pPr>
              <w:tabs>
                <w:tab w:val="left" w:pos="993"/>
              </w:tabs>
              <w:spacing w:line="300" w:lineRule="exact"/>
              <w:jc w:val="both"/>
            </w:pPr>
          </w:p>
        </w:tc>
      </w:tr>
    </w:tbl>
    <w:p w:rsidR="00A24422" w:rsidRPr="00E82F49" w:rsidRDefault="00A24422" w:rsidP="00427391">
      <w:pPr>
        <w:spacing w:line="288" w:lineRule="auto"/>
        <w:ind w:left="360" w:right="28"/>
        <w:jc w:val="both"/>
      </w:pPr>
    </w:p>
    <w:sectPr w:rsidR="00A24422" w:rsidRPr="00E82F49"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E3" w:rsidRDefault="00E07AE3" w:rsidP="00A24422">
      <w:pPr>
        <w:pStyle w:val="ae"/>
      </w:pPr>
      <w:r>
        <w:separator/>
      </w:r>
    </w:p>
  </w:endnote>
  <w:endnote w:type="continuationSeparator" w:id="0">
    <w:p w:rsidR="00E07AE3" w:rsidRDefault="00E07AE3"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23" w:rsidRDefault="00462E23">
    <w:pPr>
      <w:pStyle w:val="a6"/>
      <w:pBdr>
        <w:bottom w:val="single" w:sz="12" w:space="1" w:color="auto"/>
      </w:pBdr>
      <w:rPr>
        <w:sz w:val="2"/>
      </w:rPr>
    </w:pPr>
  </w:p>
  <w:p w:rsidR="00462E23" w:rsidRDefault="00462E23">
    <w:pPr>
      <w:pStyle w:val="a6"/>
      <w:rPr>
        <w:sz w:val="24"/>
      </w:rPr>
    </w:pPr>
  </w:p>
  <w:p w:rsidR="00462E23" w:rsidRDefault="00626235" w:rsidP="00811E79">
    <w:pPr>
      <w:pStyle w:val="a6"/>
      <w:tabs>
        <w:tab w:val="clear" w:pos="4153"/>
        <w:tab w:val="clear" w:pos="8306"/>
        <w:tab w:val="left" w:pos="3600"/>
        <w:tab w:val="left" w:pos="7230"/>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811E79">
      <w:rPr>
        <w:b/>
        <w:bCs/>
        <w:i/>
        <w:iCs/>
        <w:sz w:val="24"/>
        <w:lang w:eastAsia="zh-HK"/>
      </w:rPr>
      <w:t>4</w:t>
    </w:r>
    <w:r>
      <w:rPr>
        <w:rFonts w:hint="eastAsia"/>
        <w:b/>
        <w:bCs/>
        <w:i/>
        <w:iCs/>
        <w:sz w:val="24"/>
        <w:lang w:eastAsia="zh-HK"/>
      </w:rPr>
      <w:t xml:space="preserve"> ECC</w:t>
    </w:r>
    <w:r>
      <w:rPr>
        <w:b/>
        <w:bCs/>
        <w:i/>
        <w:iCs/>
        <w:sz w:val="24"/>
      </w:rPr>
      <w:t xml:space="preserve"> (</w:t>
    </w:r>
    <w:r w:rsidR="00811E79">
      <w:rPr>
        <w:b/>
        <w:bCs/>
        <w:i/>
        <w:iCs/>
        <w:sz w:val="24"/>
        <w:lang w:eastAsia="zh-HK"/>
      </w:rPr>
      <w:t>4.10.2021</w:t>
    </w:r>
    <w:r>
      <w:rPr>
        <w:b/>
        <w:bCs/>
        <w:i/>
        <w:iCs/>
        <w:sz w:val="24"/>
      </w:rPr>
      <w:t>)</w:t>
    </w:r>
    <w:r w:rsidR="00462E23">
      <w:rPr>
        <w:b/>
        <w:bCs/>
        <w:i/>
        <w:iCs/>
        <w:sz w:val="24"/>
      </w:rPr>
      <w:tab/>
      <w:t>Page</w:t>
    </w:r>
    <w:r w:rsidR="00811E79">
      <w:rPr>
        <w:b/>
        <w:bCs/>
        <w:i/>
        <w:iCs/>
        <w:sz w:val="24"/>
      </w:rPr>
      <w:t xml:space="preserve"> NTT C6 -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E2099C">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E2099C">
      <w:rPr>
        <w:b/>
        <w:bCs/>
        <w:i/>
        <w:iCs/>
        <w:noProof/>
        <w:sz w:val="24"/>
      </w:rPr>
      <w:t>1</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E3" w:rsidRDefault="00E07AE3" w:rsidP="00A24422">
      <w:pPr>
        <w:pStyle w:val="ae"/>
      </w:pPr>
      <w:r>
        <w:separator/>
      </w:r>
    </w:p>
  </w:footnote>
  <w:footnote w:type="continuationSeparator" w:id="0">
    <w:p w:rsidR="00E07AE3" w:rsidRDefault="00E07AE3"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32A3B44"/>
    <w:multiLevelType w:val="hybridMultilevel"/>
    <w:tmpl w:val="B01EF08E"/>
    <w:lvl w:ilvl="0" w:tplc="73CCE070">
      <w:start w:val="1"/>
      <w:numFmt w:val="lowerLetter"/>
      <w:lvlText w:val="(%1)"/>
      <w:lvlJc w:val="left"/>
      <w:pPr>
        <w:tabs>
          <w:tab w:val="num" w:pos="996"/>
        </w:tabs>
        <w:ind w:left="996" w:hanging="57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30"/>
  </w:num>
  <w:num w:numId="7">
    <w:abstractNumId w:val="24"/>
  </w:num>
  <w:num w:numId="8">
    <w:abstractNumId w:val="18"/>
  </w:num>
  <w:num w:numId="9">
    <w:abstractNumId w:val="28"/>
  </w:num>
  <w:num w:numId="10">
    <w:abstractNumId w:val="33"/>
  </w:num>
  <w:num w:numId="11">
    <w:abstractNumId w:val="3"/>
  </w:num>
  <w:num w:numId="12">
    <w:abstractNumId w:val="31"/>
  </w:num>
  <w:num w:numId="13">
    <w:abstractNumId w:val="17"/>
  </w:num>
  <w:num w:numId="14">
    <w:abstractNumId w:val="35"/>
  </w:num>
  <w:num w:numId="15">
    <w:abstractNumId w:val="11"/>
  </w:num>
  <w:num w:numId="16">
    <w:abstractNumId w:val="16"/>
  </w:num>
  <w:num w:numId="17">
    <w:abstractNumId w:val="34"/>
  </w:num>
  <w:num w:numId="18">
    <w:abstractNumId w:val="19"/>
  </w:num>
  <w:num w:numId="19">
    <w:abstractNumId w:val="2"/>
  </w:num>
  <w:num w:numId="20">
    <w:abstractNumId w:val="29"/>
  </w:num>
  <w:num w:numId="21">
    <w:abstractNumId w:val="9"/>
  </w:num>
  <w:num w:numId="22">
    <w:abstractNumId w:val="23"/>
  </w:num>
  <w:num w:numId="23">
    <w:abstractNumId w:val="20"/>
  </w:num>
  <w:num w:numId="24">
    <w:abstractNumId w:val="4"/>
  </w:num>
  <w:num w:numId="25">
    <w:abstractNumId w:val="6"/>
  </w:num>
  <w:num w:numId="26">
    <w:abstractNumId w:val="5"/>
  </w:num>
  <w:num w:numId="27">
    <w:abstractNumId w:val="25"/>
  </w:num>
  <w:num w:numId="28">
    <w:abstractNumId w:val="8"/>
  </w:num>
  <w:num w:numId="29">
    <w:abstractNumId w:val="14"/>
  </w:num>
  <w:num w:numId="30">
    <w:abstractNumId w:val="7"/>
  </w:num>
  <w:num w:numId="31">
    <w:abstractNumId w:val="36"/>
  </w:num>
  <w:num w:numId="32">
    <w:abstractNumId w:val="26"/>
  </w:num>
  <w:num w:numId="33">
    <w:abstractNumId w:val="27"/>
  </w:num>
  <w:num w:numId="34">
    <w:abstractNumId w:val="10"/>
  </w:num>
  <w:num w:numId="35">
    <w:abstractNumId w:val="13"/>
  </w:num>
  <w:num w:numId="36">
    <w:abstractNumId w:val="3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4295E"/>
    <w:rsid w:val="00054FD5"/>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E5959"/>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74B13"/>
    <w:rsid w:val="001866A6"/>
    <w:rsid w:val="00194B83"/>
    <w:rsid w:val="00196499"/>
    <w:rsid w:val="00197D40"/>
    <w:rsid w:val="001B3A8B"/>
    <w:rsid w:val="001B3B1E"/>
    <w:rsid w:val="001B4465"/>
    <w:rsid w:val="001C226D"/>
    <w:rsid w:val="001C3AA0"/>
    <w:rsid w:val="001C49C4"/>
    <w:rsid w:val="001C56C1"/>
    <w:rsid w:val="001C6BD5"/>
    <w:rsid w:val="001D407A"/>
    <w:rsid w:val="001D45C9"/>
    <w:rsid w:val="001D78DE"/>
    <w:rsid w:val="001E0CC0"/>
    <w:rsid w:val="001E342D"/>
    <w:rsid w:val="001F13CA"/>
    <w:rsid w:val="00200537"/>
    <w:rsid w:val="00201796"/>
    <w:rsid w:val="00201958"/>
    <w:rsid w:val="00202558"/>
    <w:rsid w:val="002033CD"/>
    <w:rsid w:val="00210D07"/>
    <w:rsid w:val="00212504"/>
    <w:rsid w:val="00215E43"/>
    <w:rsid w:val="00221BA4"/>
    <w:rsid w:val="00221DE0"/>
    <w:rsid w:val="00224574"/>
    <w:rsid w:val="00224D8C"/>
    <w:rsid w:val="002303E3"/>
    <w:rsid w:val="0023606F"/>
    <w:rsid w:val="00236213"/>
    <w:rsid w:val="00246FC8"/>
    <w:rsid w:val="00251549"/>
    <w:rsid w:val="00252812"/>
    <w:rsid w:val="00266F9B"/>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E7F43"/>
    <w:rsid w:val="002F14D0"/>
    <w:rsid w:val="002F2D0F"/>
    <w:rsid w:val="002F6CC5"/>
    <w:rsid w:val="002F7438"/>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511C"/>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4E4"/>
    <w:rsid w:val="00453EC7"/>
    <w:rsid w:val="00460045"/>
    <w:rsid w:val="00462E23"/>
    <w:rsid w:val="00463030"/>
    <w:rsid w:val="0046438B"/>
    <w:rsid w:val="004714F4"/>
    <w:rsid w:val="00472A24"/>
    <w:rsid w:val="00475CD4"/>
    <w:rsid w:val="00477A22"/>
    <w:rsid w:val="00477AF2"/>
    <w:rsid w:val="00484006"/>
    <w:rsid w:val="00485500"/>
    <w:rsid w:val="004869DE"/>
    <w:rsid w:val="00491CB8"/>
    <w:rsid w:val="004920BB"/>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63D1"/>
    <w:rsid w:val="00572D2B"/>
    <w:rsid w:val="00577EBD"/>
    <w:rsid w:val="00581D22"/>
    <w:rsid w:val="0058742A"/>
    <w:rsid w:val="00587E1A"/>
    <w:rsid w:val="00590D13"/>
    <w:rsid w:val="0059542E"/>
    <w:rsid w:val="005A325D"/>
    <w:rsid w:val="005A419E"/>
    <w:rsid w:val="005A72FF"/>
    <w:rsid w:val="005A7481"/>
    <w:rsid w:val="005A7E8E"/>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252A"/>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3BCE"/>
    <w:rsid w:val="006E420A"/>
    <w:rsid w:val="006F6F36"/>
    <w:rsid w:val="006F70BB"/>
    <w:rsid w:val="00715C52"/>
    <w:rsid w:val="00720747"/>
    <w:rsid w:val="00723BA3"/>
    <w:rsid w:val="0072736A"/>
    <w:rsid w:val="007278B4"/>
    <w:rsid w:val="00730EE3"/>
    <w:rsid w:val="0073479D"/>
    <w:rsid w:val="00741239"/>
    <w:rsid w:val="00742FD3"/>
    <w:rsid w:val="00751C3A"/>
    <w:rsid w:val="00752EFE"/>
    <w:rsid w:val="007606EF"/>
    <w:rsid w:val="00761DC2"/>
    <w:rsid w:val="0076254F"/>
    <w:rsid w:val="007639B1"/>
    <w:rsid w:val="00765FC8"/>
    <w:rsid w:val="00767B7A"/>
    <w:rsid w:val="00770C2B"/>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5EA5"/>
    <w:rsid w:val="007D6D8C"/>
    <w:rsid w:val="007D7CC4"/>
    <w:rsid w:val="007E07B0"/>
    <w:rsid w:val="007E33FF"/>
    <w:rsid w:val="007E41A2"/>
    <w:rsid w:val="007E7713"/>
    <w:rsid w:val="007E7AC9"/>
    <w:rsid w:val="007F234E"/>
    <w:rsid w:val="007F2D93"/>
    <w:rsid w:val="007F75B7"/>
    <w:rsid w:val="00810CAB"/>
    <w:rsid w:val="00811E79"/>
    <w:rsid w:val="00820936"/>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4D4A"/>
    <w:rsid w:val="008E5326"/>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69E"/>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2A3F"/>
    <w:rsid w:val="00A83BE2"/>
    <w:rsid w:val="00A8418A"/>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06722"/>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6374"/>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15041"/>
    <w:rsid w:val="00D2315F"/>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07AE3"/>
    <w:rsid w:val="00E12810"/>
    <w:rsid w:val="00E172EC"/>
    <w:rsid w:val="00E2099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82F49"/>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569D"/>
    <w:rsid w:val="00F8626E"/>
    <w:rsid w:val="00F90C66"/>
    <w:rsid w:val="00F90ED7"/>
    <w:rsid w:val="00FA6DE4"/>
    <w:rsid w:val="00FB1159"/>
    <w:rsid w:val="00FB3C8D"/>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12D95A-EF86-4AB4-9D44-6FF27A19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List Paragraph"/>
    <w:basedOn w:val="a0"/>
    <w:uiPriority w:val="34"/>
    <w:qFormat/>
    <w:rsid w:val="004920BB"/>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4C78-F7BA-41B4-A72E-EACF3DCB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HKSARG</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4</cp:revision>
  <cp:lastPrinted>2020-08-04T10:12:00Z</cp:lastPrinted>
  <dcterms:created xsi:type="dcterms:W3CDTF">2021-08-23T10:08:00Z</dcterms:created>
  <dcterms:modified xsi:type="dcterms:W3CDTF">2021-09-15T01:57:00Z</dcterms:modified>
</cp:coreProperties>
</file>