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536"/>
        <w:gridCol w:w="4395"/>
      </w:tblGrid>
      <w:tr w:rsidR="008E3363" w:rsidRPr="00C00BCB" w14:paraId="41F34035" w14:textId="77777777" w:rsidTr="00756E86">
        <w:trPr>
          <w:tblHeader/>
        </w:trPr>
        <w:tc>
          <w:tcPr>
            <w:tcW w:w="5245" w:type="dxa"/>
            <w:gridSpan w:val="2"/>
            <w:tcBorders>
              <w:top w:val="single" w:sz="4" w:space="0" w:color="auto"/>
              <w:bottom w:val="single" w:sz="4" w:space="0" w:color="auto"/>
            </w:tcBorders>
            <w:vAlign w:val="center"/>
          </w:tcPr>
          <w:p w14:paraId="2BBE17E2" w14:textId="4FE2C014" w:rsidR="008E3363" w:rsidRPr="00C00BCB" w:rsidRDefault="008E3363" w:rsidP="008E3363">
            <w:pPr>
              <w:pStyle w:val="a3"/>
              <w:spacing w:beforeLines="20" w:before="72" w:afterLines="20" w:after="72" w:line="360" w:lineRule="exact"/>
              <w:ind w:rightChars="63" w:right="151"/>
              <w:rPr>
                <w:sz w:val="24"/>
              </w:rPr>
            </w:pPr>
            <w:bookmarkStart w:id="0" w:name="_GoBack"/>
            <w:bookmarkEnd w:id="0"/>
            <w:r w:rsidRPr="00C00BCB">
              <w:rPr>
                <w:sz w:val="24"/>
              </w:rPr>
              <w:t>Clause</w:t>
            </w:r>
          </w:p>
        </w:tc>
        <w:tc>
          <w:tcPr>
            <w:tcW w:w="4395" w:type="dxa"/>
            <w:tcBorders>
              <w:top w:val="single" w:sz="4" w:space="0" w:color="auto"/>
              <w:bottom w:val="single" w:sz="4" w:space="0" w:color="auto"/>
            </w:tcBorders>
            <w:vAlign w:val="center"/>
          </w:tcPr>
          <w:p w14:paraId="36A70EE5" w14:textId="48EF906A" w:rsidR="008E3363" w:rsidRPr="00C00BCB" w:rsidRDefault="008E3363" w:rsidP="008E3363">
            <w:pPr>
              <w:pStyle w:val="a3"/>
              <w:spacing w:beforeLines="20" w:before="72" w:afterLines="20" w:after="72" w:line="360" w:lineRule="exact"/>
              <w:ind w:rightChars="63" w:right="151"/>
              <w:rPr>
                <w:sz w:val="24"/>
              </w:rPr>
            </w:pPr>
            <w:r w:rsidRPr="00C00BCB">
              <w:rPr>
                <w:rFonts w:hint="eastAsia"/>
                <w:sz w:val="24"/>
              </w:rPr>
              <w:t>Remarks / Guidelines</w:t>
            </w:r>
          </w:p>
        </w:tc>
      </w:tr>
      <w:tr w:rsidR="003630D9" w:rsidRPr="00C00BCB" w14:paraId="3990F676" w14:textId="77777777" w:rsidTr="00E12AA5">
        <w:tc>
          <w:tcPr>
            <w:tcW w:w="9640" w:type="dxa"/>
            <w:gridSpan w:val="3"/>
            <w:tcBorders>
              <w:top w:val="single" w:sz="4" w:space="0" w:color="auto"/>
              <w:bottom w:val="single" w:sz="4" w:space="0" w:color="auto"/>
            </w:tcBorders>
          </w:tcPr>
          <w:p w14:paraId="2CD9C616" w14:textId="65C670F6" w:rsidR="003630D9" w:rsidRPr="00C00BCB" w:rsidRDefault="003630D9" w:rsidP="00793820">
            <w:pPr>
              <w:pStyle w:val="a3"/>
              <w:spacing w:line="360" w:lineRule="exact"/>
              <w:jc w:val="left"/>
              <w:rPr>
                <w:sz w:val="24"/>
              </w:rPr>
            </w:pPr>
            <w:r w:rsidRPr="00C00BCB">
              <w:rPr>
                <w:sz w:val="24"/>
              </w:rPr>
              <w:t xml:space="preserve">SCT </w:t>
            </w:r>
            <w:r w:rsidRPr="00C00BCB">
              <w:rPr>
                <w:rFonts w:hint="eastAsia"/>
                <w:sz w:val="24"/>
              </w:rPr>
              <w:t>5</w:t>
            </w:r>
            <w:r w:rsidRPr="00C00BCB">
              <w:rPr>
                <w:sz w:val="24"/>
              </w:rPr>
              <w:tab/>
              <w:t>Contractors' Joint Venture</w:t>
            </w:r>
          </w:p>
        </w:tc>
      </w:tr>
      <w:tr w:rsidR="00115F00" w:rsidRPr="00C00BCB" w14:paraId="378B0F1A" w14:textId="77777777" w:rsidTr="00756E86">
        <w:tc>
          <w:tcPr>
            <w:tcW w:w="709" w:type="dxa"/>
            <w:tcBorders>
              <w:top w:val="single" w:sz="4" w:space="0" w:color="auto"/>
              <w:bottom w:val="nil"/>
              <w:right w:val="nil"/>
            </w:tcBorders>
          </w:tcPr>
          <w:p w14:paraId="4C83E131" w14:textId="178E256A" w:rsidR="00115F00" w:rsidRPr="00C00BCB" w:rsidRDefault="00115F00" w:rsidP="00115F00">
            <w:pPr>
              <w:pStyle w:val="a3"/>
              <w:spacing w:line="360" w:lineRule="exact"/>
              <w:ind w:rightChars="63" w:right="151"/>
              <w:jc w:val="both"/>
              <w:rPr>
                <w:b w:val="0"/>
                <w:bCs w:val="0"/>
                <w:sz w:val="24"/>
              </w:rPr>
            </w:pPr>
            <w:r w:rsidRPr="00C00BCB">
              <w:rPr>
                <w:b w:val="0"/>
                <w:bCs w:val="0"/>
                <w:sz w:val="24"/>
              </w:rPr>
              <w:t>(1)</w:t>
            </w:r>
          </w:p>
        </w:tc>
        <w:tc>
          <w:tcPr>
            <w:tcW w:w="4536" w:type="dxa"/>
            <w:tcBorders>
              <w:top w:val="single" w:sz="4" w:space="0" w:color="auto"/>
              <w:left w:val="nil"/>
              <w:bottom w:val="nil"/>
            </w:tcBorders>
          </w:tcPr>
          <w:p w14:paraId="3A2668EB" w14:textId="433E0D0E" w:rsidR="00115F00" w:rsidRPr="00C00BCB" w:rsidRDefault="00115F00" w:rsidP="00115F00">
            <w:pPr>
              <w:pStyle w:val="a3"/>
              <w:spacing w:line="360" w:lineRule="exact"/>
              <w:ind w:rightChars="63" w:right="151"/>
              <w:jc w:val="both"/>
              <w:rPr>
                <w:b w:val="0"/>
                <w:bCs w:val="0"/>
                <w:sz w:val="24"/>
              </w:rPr>
            </w:pPr>
            <w:r w:rsidRPr="00C00BCB">
              <w:rPr>
                <w:b w:val="0"/>
                <w:bCs w:val="0"/>
                <w:sz w:val="24"/>
              </w:rPr>
              <w:t>Tenders from an incorporated joint venture or an unincorporated joint venture will not be considered unless the incorporated joint venture or the unincorporated joint venture itself is a prequalified tenderer.</w:t>
            </w:r>
          </w:p>
        </w:tc>
        <w:tc>
          <w:tcPr>
            <w:tcW w:w="4395" w:type="dxa"/>
            <w:tcBorders>
              <w:top w:val="single" w:sz="4" w:space="0" w:color="auto"/>
              <w:bottom w:val="nil"/>
            </w:tcBorders>
          </w:tcPr>
          <w:p w14:paraId="53768409" w14:textId="52F6EF8B" w:rsidR="00115F00" w:rsidRPr="00C00BCB" w:rsidRDefault="007C70DA" w:rsidP="00756E86">
            <w:pPr>
              <w:pStyle w:val="a3"/>
              <w:tabs>
                <w:tab w:val="clear" w:pos="0"/>
              </w:tabs>
              <w:snapToGrid w:val="0"/>
              <w:spacing w:line="360" w:lineRule="exact"/>
              <w:ind w:leftChars="67" w:left="161" w:right="153"/>
              <w:jc w:val="both"/>
              <w:rPr>
                <w:b w:val="0"/>
                <w:bCs w:val="0"/>
                <w:sz w:val="24"/>
              </w:rPr>
            </w:pPr>
            <w:r w:rsidRPr="00C00BCB">
              <w:rPr>
                <w:b w:val="0"/>
                <w:bCs w:val="0"/>
                <w:sz w:val="24"/>
              </w:rPr>
              <w:t>DEVB Memo r</w:t>
            </w:r>
            <w:r w:rsidR="00115F00" w:rsidRPr="00C00BCB">
              <w:rPr>
                <w:b w:val="0"/>
                <w:bCs w:val="0"/>
                <w:sz w:val="24"/>
              </w:rPr>
              <w:t>ef.</w:t>
            </w:r>
            <w:r w:rsidR="00115F00" w:rsidRPr="00C00BCB">
              <w:rPr>
                <w:b w:val="0"/>
                <w:bCs w:val="0"/>
                <w:sz w:val="24"/>
                <w:lang w:eastAsia="zh-HK"/>
              </w:rPr>
              <w:t xml:space="preserve"> (02VVW-01-1) in DEVB(W) 510/83/05 dated 24.1.2017</w:t>
            </w:r>
            <w:r w:rsidRPr="00C00BCB">
              <w:rPr>
                <w:b w:val="0"/>
                <w:bCs w:val="0"/>
                <w:sz w:val="24"/>
                <w:lang w:eastAsia="zh-HK"/>
              </w:rPr>
              <w:t xml:space="preserve"> and DEVB(W) 510/83/05 dated 16.9.2020</w:t>
            </w:r>
            <w:r w:rsidR="00115F00" w:rsidRPr="00C00BCB">
              <w:rPr>
                <w:b w:val="0"/>
                <w:bCs w:val="0"/>
                <w:sz w:val="24"/>
                <w:lang w:eastAsia="zh-HK"/>
              </w:rPr>
              <w:t>.</w:t>
            </w:r>
          </w:p>
          <w:p w14:paraId="0CCC002D" w14:textId="66508AED" w:rsidR="00115F00" w:rsidRPr="00C00BCB" w:rsidRDefault="00115F00" w:rsidP="00756E86">
            <w:pPr>
              <w:pStyle w:val="a3"/>
              <w:tabs>
                <w:tab w:val="clear" w:pos="0"/>
              </w:tabs>
              <w:snapToGrid w:val="0"/>
              <w:spacing w:line="360" w:lineRule="exact"/>
              <w:ind w:leftChars="67" w:left="161" w:right="153"/>
              <w:jc w:val="both"/>
              <w:rPr>
                <w:b w:val="0"/>
                <w:bCs w:val="0"/>
                <w:color w:val="0000FF"/>
                <w:sz w:val="24"/>
              </w:rPr>
            </w:pPr>
            <w:r w:rsidRPr="00C00BCB">
              <w:rPr>
                <w:rFonts w:hint="eastAsia"/>
                <w:b w:val="0"/>
                <w:bCs w:val="0"/>
                <w:color w:val="0000FF"/>
                <w:sz w:val="24"/>
              </w:rPr>
              <w:t xml:space="preserve">This version of </w:t>
            </w:r>
            <w:r w:rsidR="00C00BCB" w:rsidRPr="00C00BCB">
              <w:rPr>
                <w:rFonts w:hint="eastAsia"/>
                <w:b w:val="0"/>
                <w:bCs w:val="0"/>
                <w:color w:val="0000FF"/>
                <w:sz w:val="24"/>
              </w:rPr>
              <w:t>SCT</w:t>
            </w:r>
            <w:r w:rsidR="00C00BCB" w:rsidRPr="00C00BCB">
              <w:rPr>
                <w:b w:val="0"/>
                <w:bCs w:val="0"/>
                <w:color w:val="0000FF"/>
                <w:sz w:val="24"/>
              </w:rPr>
              <w:t>5</w:t>
            </w:r>
            <w:r w:rsidR="00C00BCB" w:rsidRPr="00C00BCB">
              <w:rPr>
                <w:rFonts w:hint="eastAsia"/>
                <w:b w:val="0"/>
                <w:bCs w:val="0"/>
                <w:color w:val="0000FF"/>
                <w:sz w:val="24"/>
              </w:rPr>
              <w:t xml:space="preserve"> </w:t>
            </w:r>
            <w:r w:rsidRPr="00C00BCB">
              <w:rPr>
                <w:b w:val="0"/>
                <w:bCs w:val="0"/>
                <w:color w:val="0000FF"/>
                <w:sz w:val="24"/>
              </w:rPr>
              <w:t xml:space="preserve">should be used </w:t>
            </w:r>
            <w:r w:rsidRPr="00C00BCB">
              <w:rPr>
                <w:rFonts w:hint="eastAsia"/>
                <w:b w:val="0"/>
                <w:bCs w:val="0"/>
                <w:color w:val="0000FF"/>
                <w:sz w:val="24"/>
              </w:rPr>
              <w:t>for prequalified tendering.</w:t>
            </w:r>
          </w:p>
          <w:p w14:paraId="6E93CF78" w14:textId="77777777" w:rsidR="00115F00" w:rsidRPr="00C00BCB" w:rsidRDefault="00115F00" w:rsidP="00756E86">
            <w:pPr>
              <w:pStyle w:val="a3"/>
              <w:tabs>
                <w:tab w:val="clear" w:pos="0"/>
              </w:tabs>
              <w:snapToGrid w:val="0"/>
              <w:spacing w:line="360" w:lineRule="exact"/>
              <w:ind w:leftChars="67" w:left="161" w:right="153"/>
              <w:jc w:val="both"/>
              <w:rPr>
                <w:b w:val="0"/>
                <w:bCs w:val="0"/>
                <w:sz w:val="24"/>
              </w:rPr>
            </w:pPr>
          </w:p>
        </w:tc>
      </w:tr>
      <w:tr w:rsidR="00115F00" w:rsidRPr="00C00BCB" w14:paraId="4B24179B" w14:textId="77777777" w:rsidTr="00756E86">
        <w:tc>
          <w:tcPr>
            <w:tcW w:w="709" w:type="dxa"/>
            <w:tcBorders>
              <w:top w:val="nil"/>
              <w:bottom w:val="nil"/>
              <w:right w:val="nil"/>
            </w:tcBorders>
          </w:tcPr>
          <w:p w14:paraId="476150A4" w14:textId="1F0118C2" w:rsidR="00115F00" w:rsidRPr="00C00BCB" w:rsidRDefault="00115F00" w:rsidP="00115F00">
            <w:pPr>
              <w:pStyle w:val="a3"/>
              <w:spacing w:line="360" w:lineRule="exact"/>
              <w:ind w:rightChars="63" w:right="151"/>
              <w:jc w:val="both"/>
              <w:rPr>
                <w:b w:val="0"/>
                <w:bCs w:val="0"/>
                <w:sz w:val="24"/>
              </w:rPr>
            </w:pPr>
            <w:r w:rsidRPr="00C00BCB">
              <w:rPr>
                <w:b w:val="0"/>
                <w:bCs w:val="0"/>
                <w:sz w:val="24"/>
              </w:rPr>
              <w:t>(2)</w:t>
            </w:r>
          </w:p>
        </w:tc>
        <w:tc>
          <w:tcPr>
            <w:tcW w:w="4536" w:type="dxa"/>
            <w:tcBorders>
              <w:top w:val="nil"/>
              <w:left w:val="nil"/>
              <w:bottom w:val="nil"/>
            </w:tcBorders>
          </w:tcPr>
          <w:p w14:paraId="60307191" w14:textId="42432F24" w:rsidR="00115F00" w:rsidRDefault="00115F00" w:rsidP="00C00BCB">
            <w:pPr>
              <w:pStyle w:val="a3"/>
              <w:spacing w:line="360" w:lineRule="exact"/>
              <w:ind w:rightChars="63" w:right="151"/>
              <w:jc w:val="both"/>
              <w:rPr>
                <w:b w:val="0"/>
                <w:bCs w:val="0"/>
                <w:sz w:val="24"/>
              </w:rPr>
            </w:pPr>
            <w:r w:rsidRPr="00C00BCB">
              <w:rPr>
                <w:b w:val="0"/>
                <w:bCs w:val="0"/>
                <w:sz w:val="24"/>
              </w:rPr>
              <w:t xml:space="preserve">Where the tenderer is an unincorporated joint venture it shall, subject to General Conditions of Tender Clause 25, submit to the </w:t>
            </w:r>
            <w:r w:rsidR="00C00BCB" w:rsidRPr="00C00BCB">
              <w:rPr>
                <w:b w:val="0"/>
                <w:bCs w:val="0"/>
                <w:i/>
                <w:sz w:val="24"/>
              </w:rPr>
              <w:t>Project Manager</w:t>
            </w:r>
            <w:r w:rsidRPr="00C00BCB">
              <w:rPr>
                <w:b w:val="0"/>
                <w:bCs w:val="0"/>
                <w:sz w:val="24"/>
              </w:rPr>
              <w:t xml:space="preserve"> designate a Letter of Undertaking in the form set out in </w:t>
            </w:r>
            <w:r w:rsidRPr="00C00BCB">
              <w:rPr>
                <w:b w:val="0"/>
                <w:bCs w:val="0"/>
                <w:color w:val="0000FF"/>
                <w:sz w:val="24"/>
              </w:rPr>
              <w:t>Appendix</w:t>
            </w:r>
            <w:r w:rsidR="00B91791" w:rsidRPr="009731B0">
              <w:rPr>
                <w:b w:val="0"/>
                <w:bCs w:val="0"/>
                <w:color w:val="0000FF"/>
                <w:sz w:val="24"/>
                <w:vertAlign w:val="superscript"/>
              </w:rPr>
              <w:t>#</w:t>
            </w:r>
            <w:r w:rsidRPr="00C00BCB">
              <w:rPr>
                <w:b w:val="0"/>
                <w:bCs w:val="0"/>
                <w:color w:val="0000FF"/>
                <w:sz w:val="24"/>
              </w:rPr>
              <w:t xml:space="preserve"> [</w:t>
            </w:r>
            <w:r w:rsidR="00B91791" w:rsidRPr="00C00BCB">
              <w:rPr>
                <w:b w:val="0"/>
                <w:bCs w:val="0"/>
                <w:i/>
                <w:color w:val="0000FF"/>
                <w:sz w:val="24"/>
                <w:lang w:eastAsia="zh-HK"/>
              </w:rPr>
              <w:t>insert appropriate reference</w:t>
            </w:r>
            <w:r w:rsidRPr="00C00BCB">
              <w:rPr>
                <w:b w:val="0"/>
                <w:bCs w:val="0"/>
                <w:color w:val="0000FF"/>
                <w:sz w:val="24"/>
              </w:rPr>
              <w:t>]</w:t>
            </w:r>
            <w:r w:rsidRPr="00C00BCB">
              <w:rPr>
                <w:b w:val="0"/>
                <w:bCs w:val="0"/>
                <w:sz w:val="24"/>
              </w:rPr>
              <w:t xml:space="preserve"> to these Special Conditions of Tender duly executed by all the participants of the unincorporated joint venture.  Failure to comply with this sub-clause by an unincorporated joint venture shall render </w:t>
            </w:r>
            <w:r w:rsidR="00C00BCB" w:rsidRPr="00C00BCB">
              <w:rPr>
                <w:b w:val="0"/>
                <w:bCs w:val="0"/>
                <w:sz w:val="24"/>
              </w:rPr>
              <w:t xml:space="preserve">its </w:t>
            </w:r>
            <w:r w:rsidRPr="00C00BCB">
              <w:rPr>
                <w:b w:val="0"/>
                <w:bCs w:val="0"/>
                <w:sz w:val="24"/>
              </w:rPr>
              <w:t>tender invalid.</w:t>
            </w:r>
          </w:p>
          <w:p w14:paraId="7B5F8C1A" w14:textId="10246B2E" w:rsidR="00756E86" w:rsidRPr="00C00BCB" w:rsidRDefault="00756E86" w:rsidP="00C00BCB">
            <w:pPr>
              <w:pStyle w:val="a3"/>
              <w:spacing w:line="360" w:lineRule="exact"/>
              <w:ind w:rightChars="63" w:right="151"/>
              <w:jc w:val="both"/>
              <w:rPr>
                <w:b w:val="0"/>
                <w:bCs w:val="0"/>
                <w:sz w:val="24"/>
              </w:rPr>
            </w:pPr>
          </w:p>
        </w:tc>
        <w:tc>
          <w:tcPr>
            <w:tcW w:w="4395" w:type="dxa"/>
            <w:tcBorders>
              <w:top w:val="nil"/>
              <w:bottom w:val="nil"/>
            </w:tcBorders>
          </w:tcPr>
          <w:p w14:paraId="1B8EAA33" w14:textId="590DFDBC" w:rsidR="00115F00" w:rsidRPr="00C00BCB" w:rsidRDefault="00115F00" w:rsidP="00756E86">
            <w:pPr>
              <w:pStyle w:val="a3"/>
              <w:tabs>
                <w:tab w:val="clear" w:pos="0"/>
              </w:tabs>
              <w:snapToGrid w:val="0"/>
              <w:spacing w:line="360" w:lineRule="exact"/>
              <w:ind w:leftChars="67" w:left="161" w:right="153"/>
              <w:jc w:val="both"/>
              <w:rPr>
                <w:b w:val="0"/>
                <w:bCs w:val="0"/>
                <w:sz w:val="24"/>
              </w:rPr>
            </w:pPr>
            <w:r w:rsidRPr="00C00BCB">
              <w:rPr>
                <w:b w:val="0"/>
                <w:bCs w:val="0"/>
                <w:sz w:val="24"/>
              </w:rPr>
              <w:t xml:space="preserve">The percentages of financial participation of each participant as submitted in the prequalification application or, if any revision is proposed, the latest of the percentages of financial participation as approved by the </w:t>
            </w:r>
            <w:r w:rsidR="00C00BCB" w:rsidRPr="00C00BCB">
              <w:rPr>
                <w:b w:val="0"/>
                <w:bCs w:val="0"/>
                <w:i/>
                <w:sz w:val="24"/>
              </w:rPr>
              <w:t>Client</w:t>
            </w:r>
            <w:r w:rsidR="00C00BCB" w:rsidRPr="00C00BCB">
              <w:rPr>
                <w:b w:val="0"/>
                <w:bCs w:val="0"/>
                <w:sz w:val="24"/>
              </w:rPr>
              <w:t xml:space="preserve"> </w:t>
            </w:r>
            <w:r w:rsidRPr="00C00BCB">
              <w:rPr>
                <w:b w:val="0"/>
                <w:bCs w:val="0"/>
                <w:sz w:val="24"/>
              </w:rPr>
              <w:t>shall be used for technical assessment.  Project officers are reminded of this requirement in preparing the Marking Scheme for tender evaluation.</w:t>
            </w:r>
          </w:p>
        </w:tc>
      </w:tr>
      <w:tr w:rsidR="00115F00" w:rsidRPr="00C00BCB" w14:paraId="0E95C85A" w14:textId="77777777" w:rsidTr="00756E86">
        <w:tc>
          <w:tcPr>
            <w:tcW w:w="709" w:type="dxa"/>
            <w:tcBorders>
              <w:top w:val="nil"/>
              <w:bottom w:val="nil"/>
              <w:right w:val="nil"/>
            </w:tcBorders>
          </w:tcPr>
          <w:p w14:paraId="6AE455B5" w14:textId="5A5BA225" w:rsidR="00115F00" w:rsidRPr="00C00BCB" w:rsidRDefault="00115F00" w:rsidP="00115F00">
            <w:pPr>
              <w:pStyle w:val="a3"/>
              <w:spacing w:line="360" w:lineRule="exact"/>
              <w:ind w:rightChars="63" w:right="151"/>
              <w:jc w:val="both"/>
              <w:rPr>
                <w:b w:val="0"/>
                <w:bCs w:val="0"/>
                <w:sz w:val="24"/>
              </w:rPr>
            </w:pPr>
            <w:r w:rsidRPr="00C00BCB">
              <w:rPr>
                <w:b w:val="0"/>
                <w:bCs w:val="0"/>
                <w:sz w:val="24"/>
              </w:rPr>
              <w:t>(3)</w:t>
            </w:r>
          </w:p>
        </w:tc>
        <w:tc>
          <w:tcPr>
            <w:tcW w:w="4536" w:type="dxa"/>
            <w:tcBorders>
              <w:top w:val="nil"/>
              <w:left w:val="nil"/>
              <w:bottom w:val="nil"/>
            </w:tcBorders>
          </w:tcPr>
          <w:p w14:paraId="4DD49F91" w14:textId="07D4F6C6" w:rsidR="00115F00" w:rsidRDefault="00115F00" w:rsidP="00C00BCB">
            <w:pPr>
              <w:pStyle w:val="a3"/>
              <w:spacing w:line="360" w:lineRule="exact"/>
              <w:ind w:rightChars="63" w:right="151"/>
              <w:jc w:val="both"/>
              <w:rPr>
                <w:b w:val="0"/>
                <w:bCs w:val="0"/>
                <w:sz w:val="24"/>
              </w:rPr>
            </w:pPr>
            <w:r w:rsidRPr="00C00BCB">
              <w:rPr>
                <w:b w:val="0"/>
                <w:bCs w:val="0"/>
                <w:sz w:val="24"/>
              </w:rPr>
              <w:t xml:space="preserve">Where the tenderer is an incorporated joint venture it shall, subject to General Conditions of Tender Clause 25, submit to the </w:t>
            </w:r>
            <w:r w:rsidR="00C00BCB" w:rsidRPr="00C00BCB">
              <w:rPr>
                <w:b w:val="0"/>
                <w:bCs w:val="0"/>
                <w:i/>
                <w:sz w:val="24"/>
              </w:rPr>
              <w:t>Project Manager</w:t>
            </w:r>
            <w:r w:rsidRPr="00C00BCB">
              <w:rPr>
                <w:b w:val="0"/>
                <w:bCs w:val="0"/>
                <w:sz w:val="24"/>
              </w:rPr>
              <w:t xml:space="preserve"> designate a Letter of Undertaking in the form set out in </w:t>
            </w:r>
            <w:r w:rsidRPr="00C00BCB">
              <w:rPr>
                <w:b w:val="0"/>
                <w:bCs w:val="0"/>
                <w:color w:val="0000FF"/>
                <w:sz w:val="24"/>
              </w:rPr>
              <w:t>Appendix</w:t>
            </w:r>
            <w:r w:rsidR="00B91791" w:rsidRPr="009731B0">
              <w:rPr>
                <w:b w:val="0"/>
                <w:bCs w:val="0"/>
                <w:color w:val="0000FF"/>
                <w:sz w:val="24"/>
                <w:vertAlign w:val="superscript"/>
              </w:rPr>
              <w:t>##</w:t>
            </w:r>
            <w:r w:rsidRPr="00C00BCB">
              <w:rPr>
                <w:b w:val="0"/>
                <w:bCs w:val="0"/>
                <w:color w:val="0000FF"/>
                <w:sz w:val="24"/>
              </w:rPr>
              <w:t xml:space="preserve"> [</w:t>
            </w:r>
            <w:r w:rsidR="00B91791" w:rsidRPr="00C00BCB">
              <w:rPr>
                <w:b w:val="0"/>
                <w:bCs w:val="0"/>
                <w:i/>
                <w:color w:val="0000FF"/>
                <w:sz w:val="24"/>
                <w:lang w:eastAsia="zh-HK"/>
              </w:rPr>
              <w:t>insert appropriate reference</w:t>
            </w:r>
            <w:r w:rsidRPr="00C00BCB">
              <w:rPr>
                <w:b w:val="0"/>
                <w:bCs w:val="0"/>
                <w:color w:val="0000FF"/>
                <w:sz w:val="24"/>
              </w:rPr>
              <w:t xml:space="preserve">] </w:t>
            </w:r>
            <w:r w:rsidRPr="00C00BCB">
              <w:rPr>
                <w:b w:val="0"/>
                <w:bCs w:val="0"/>
                <w:sz w:val="24"/>
              </w:rPr>
              <w:t xml:space="preserve">to these Special Conditions of Tender duly executed by all the shareholders of the incorporated joint venture.  Failure to comply with this sub-clause by an incorporated joint venture tenderer shall render </w:t>
            </w:r>
            <w:r w:rsidR="00C00BCB" w:rsidRPr="00C00BCB">
              <w:rPr>
                <w:b w:val="0"/>
                <w:bCs w:val="0"/>
                <w:sz w:val="24"/>
              </w:rPr>
              <w:t xml:space="preserve">its </w:t>
            </w:r>
            <w:r w:rsidRPr="00C00BCB">
              <w:rPr>
                <w:b w:val="0"/>
                <w:bCs w:val="0"/>
                <w:sz w:val="24"/>
              </w:rPr>
              <w:t>tender invalid.</w:t>
            </w:r>
          </w:p>
          <w:p w14:paraId="54B8EEF9" w14:textId="11BE5521" w:rsidR="00756E86" w:rsidRPr="00C00BCB" w:rsidRDefault="00756E86" w:rsidP="00C00BCB">
            <w:pPr>
              <w:pStyle w:val="a3"/>
              <w:spacing w:line="360" w:lineRule="exact"/>
              <w:ind w:rightChars="63" w:right="151"/>
              <w:jc w:val="both"/>
              <w:rPr>
                <w:b w:val="0"/>
                <w:bCs w:val="0"/>
                <w:sz w:val="24"/>
              </w:rPr>
            </w:pPr>
          </w:p>
        </w:tc>
        <w:tc>
          <w:tcPr>
            <w:tcW w:w="4395" w:type="dxa"/>
            <w:tcBorders>
              <w:top w:val="nil"/>
              <w:bottom w:val="nil"/>
            </w:tcBorders>
          </w:tcPr>
          <w:p w14:paraId="134BDA31" w14:textId="180E2DB5" w:rsidR="00115F00" w:rsidRPr="00C00BCB" w:rsidRDefault="00115F00" w:rsidP="00756E86">
            <w:pPr>
              <w:pStyle w:val="a3"/>
              <w:tabs>
                <w:tab w:val="clear" w:pos="0"/>
                <w:tab w:val="clear" w:pos="904"/>
                <w:tab w:val="clear" w:pos="1680"/>
                <w:tab w:val="left" w:pos="541"/>
              </w:tabs>
              <w:snapToGrid w:val="0"/>
              <w:spacing w:line="360" w:lineRule="exact"/>
              <w:ind w:leftChars="67" w:left="586" w:rightChars="64" w:right="154" w:hanging="425"/>
              <w:jc w:val="both"/>
              <w:rPr>
                <w:b w:val="0"/>
                <w:bCs w:val="0"/>
                <w:color w:val="auto"/>
                <w:sz w:val="24"/>
              </w:rPr>
            </w:pPr>
            <w:r w:rsidRPr="009731B0">
              <w:rPr>
                <w:b w:val="0"/>
                <w:bCs w:val="0"/>
                <w:color w:val="auto"/>
                <w:sz w:val="24"/>
                <w:vertAlign w:val="superscript"/>
              </w:rPr>
              <w:t>#</w:t>
            </w:r>
            <w:r w:rsidRPr="00C00BCB">
              <w:rPr>
                <w:b w:val="0"/>
                <w:bCs w:val="0"/>
                <w:color w:val="auto"/>
                <w:sz w:val="24"/>
              </w:rPr>
              <w:tab/>
              <w:t>The form in Appendix A</w:t>
            </w:r>
            <w:r w:rsidR="009F034A" w:rsidRPr="00C00BCB">
              <w:rPr>
                <w:b w:val="0"/>
                <w:bCs w:val="0"/>
                <w:color w:val="auto"/>
                <w:sz w:val="24"/>
              </w:rPr>
              <w:t xml:space="preserve"> in DEVB Memo ref. (02VVW-01-1) in DEVB(W) 510/83/05 dated 24.1.2017</w:t>
            </w:r>
            <w:r w:rsidRPr="00C00BCB">
              <w:rPr>
                <w:b w:val="0"/>
                <w:bCs w:val="0"/>
                <w:color w:val="auto"/>
                <w:sz w:val="24"/>
              </w:rPr>
              <w:t xml:space="preserve"> shall be used</w:t>
            </w:r>
          </w:p>
          <w:p w14:paraId="55B4A7CA" w14:textId="30BC714B" w:rsidR="00115F00" w:rsidRPr="00C00BCB" w:rsidRDefault="00115F00" w:rsidP="00756E86">
            <w:pPr>
              <w:pStyle w:val="a3"/>
              <w:tabs>
                <w:tab w:val="clear" w:pos="0"/>
                <w:tab w:val="clear" w:pos="904"/>
                <w:tab w:val="clear" w:pos="1680"/>
                <w:tab w:val="left" w:pos="541"/>
              </w:tabs>
              <w:snapToGrid w:val="0"/>
              <w:spacing w:line="360" w:lineRule="exact"/>
              <w:ind w:leftChars="67" w:left="586" w:rightChars="64" w:right="154" w:hanging="425"/>
              <w:jc w:val="both"/>
              <w:rPr>
                <w:b w:val="0"/>
                <w:bCs w:val="0"/>
                <w:sz w:val="24"/>
              </w:rPr>
            </w:pPr>
            <w:r w:rsidRPr="009731B0">
              <w:rPr>
                <w:b w:val="0"/>
                <w:bCs w:val="0"/>
                <w:color w:val="auto"/>
                <w:sz w:val="24"/>
                <w:vertAlign w:val="superscript"/>
              </w:rPr>
              <w:t>##</w:t>
            </w:r>
            <w:r w:rsidRPr="00C00BCB">
              <w:rPr>
                <w:b w:val="0"/>
                <w:bCs w:val="0"/>
                <w:color w:val="auto"/>
                <w:sz w:val="24"/>
              </w:rPr>
              <w:tab/>
              <w:t>The form in Appendix B</w:t>
            </w:r>
            <w:r w:rsidR="009F034A" w:rsidRPr="00C00BCB">
              <w:rPr>
                <w:b w:val="0"/>
                <w:bCs w:val="0"/>
                <w:color w:val="auto"/>
                <w:sz w:val="24"/>
              </w:rPr>
              <w:t xml:space="preserve"> in DEVB Memo ref. (02VVW-01-1) in DEVB(W) 510/83/05 dated 24.1.2017</w:t>
            </w:r>
            <w:r w:rsidRPr="00C00BCB">
              <w:rPr>
                <w:b w:val="0"/>
                <w:bCs w:val="0"/>
                <w:color w:val="auto"/>
                <w:sz w:val="24"/>
              </w:rPr>
              <w:t xml:space="preserve"> shall be used</w:t>
            </w:r>
          </w:p>
        </w:tc>
      </w:tr>
      <w:tr w:rsidR="00115F00" w:rsidRPr="00EE7B7C" w14:paraId="7085FD35" w14:textId="77777777" w:rsidTr="00756E86">
        <w:tc>
          <w:tcPr>
            <w:tcW w:w="709" w:type="dxa"/>
            <w:tcBorders>
              <w:top w:val="nil"/>
              <w:bottom w:val="nil"/>
              <w:right w:val="nil"/>
            </w:tcBorders>
          </w:tcPr>
          <w:p w14:paraId="122BB009" w14:textId="62CAC040" w:rsidR="00115F00" w:rsidRPr="00C00BCB" w:rsidRDefault="00115F00" w:rsidP="00756E86">
            <w:pPr>
              <w:pStyle w:val="a3"/>
              <w:spacing w:line="360" w:lineRule="exact"/>
              <w:ind w:rightChars="63" w:right="151"/>
              <w:jc w:val="both"/>
              <w:rPr>
                <w:b w:val="0"/>
                <w:bCs w:val="0"/>
                <w:sz w:val="24"/>
              </w:rPr>
            </w:pPr>
            <w:r w:rsidRPr="00C00BCB">
              <w:rPr>
                <w:b w:val="0"/>
                <w:bCs w:val="0"/>
                <w:sz w:val="24"/>
              </w:rPr>
              <w:t>(4)</w:t>
            </w:r>
          </w:p>
        </w:tc>
        <w:tc>
          <w:tcPr>
            <w:tcW w:w="4536" w:type="dxa"/>
            <w:tcBorders>
              <w:top w:val="nil"/>
              <w:left w:val="nil"/>
              <w:bottom w:val="nil"/>
            </w:tcBorders>
          </w:tcPr>
          <w:p w14:paraId="212D33E5" w14:textId="68594459" w:rsidR="00115F00" w:rsidRPr="00C00BCB" w:rsidRDefault="00115F00" w:rsidP="007C70DA">
            <w:pPr>
              <w:pStyle w:val="a3"/>
              <w:spacing w:line="360" w:lineRule="exact"/>
              <w:ind w:rightChars="63" w:right="151"/>
              <w:jc w:val="both"/>
              <w:rPr>
                <w:b w:val="0"/>
                <w:bCs w:val="0"/>
                <w:sz w:val="24"/>
              </w:rPr>
            </w:pPr>
            <w:r w:rsidRPr="00C00BCB">
              <w:rPr>
                <w:b w:val="0"/>
                <w:bCs w:val="0"/>
                <w:sz w:val="24"/>
              </w:rPr>
              <w:t xml:space="preserve">No tenderer is permitted to submit more than one tender for each contract.  For the purpose of this Clause, a tenderer who submits a tender on its own behalf and as a participant or shareholder of a joint venture or as a participant or shareholder of more than one </w:t>
            </w:r>
            <w:r w:rsidRPr="00C00BCB">
              <w:rPr>
                <w:b w:val="0"/>
                <w:bCs w:val="0"/>
                <w:sz w:val="24"/>
              </w:rPr>
              <w:lastRenderedPageBreak/>
              <w:t xml:space="preserve">joint venture in response to a tender exercise shall be regarded as having submitted more than one tender.  Tenders submitted from a tenderer on </w:t>
            </w:r>
            <w:r w:rsidR="00C00BCB" w:rsidRPr="00C00BCB">
              <w:rPr>
                <w:b w:val="0"/>
                <w:bCs w:val="0"/>
                <w:sz w:val="24"/>
              </w:rPr>
              <w:t xml:space="preserve">its </w:t>
            </w:r>
            <w:r w:rsidRPr="00C00BCB">
              <w:rPr>
                <w:b w:val="0"/>
                <w:bCs w:val="0"/>
                <w:sz w:val="24"/>
              </w:rPr>
              <w:t>own behalf who is found to be in breach of this sub-clause or from a joint venture or joint ventures in which any participant or shareholder is found to be in breach of this sub-clause shall not be considered.</w:t>
            </w:r>
          </w:p>
          <w:p w14:paraId="47801A0B" w14:textId="77777777" w:rsidR="007C70DA" w:rsidRPr="00C00BCB" w:rsidRDefault="007C70DA" w:rsidP="007C70DA">
            <w:pPr>
              <w:pStyle w:val="a3"/>
              <w:spacing w:line="360" w:lineRule="exact"/>
              <w:ind w:rightChars="63" w:right="151"/>
              <w:jc w:val="both"/>
              <w:rPr>
                <w:b w:val="0"/>
                <w:bCs w:val="0"/>
                <w:sz w:val="24"/>
              </w:rPr>
            </w:pPr>
          </w:p>
          <w:p w14:paraId="2695C84E" w14:textId="77777777" w:rsidR="007C70DA" w:rsidRPr="00C00BCB" w:rsidRDefault="007C70DA" w:rsidP="007C70DA">
            <w:pPr>
              <w:pStyle w:val="Technical4"/>
              <w:spacing w:line="360" w:lineRule="exact"/>
              <w:ind w:rightChars="63" w:right="151"/>
              <w:jc w:val="both"/>
              <w:rPr>
                <w:b w:val="0"/>
                <w:bCs/>
                <w:szCs w:val="24"/>
              </w:rPr>
            </w:pPr>
            <w:r w:rsidRPr="00C00BCB">
              <w:rPr>
                <w:b w:val="0"/>
                <w:bCs/>
                <w:szCs w:val="24"/>
              </w:rPr>
              <w:t>For the purpose of this sub-clause:-</w:t>
            </w:r>
          </w:p>
          <w:p w14:paraId="5B321D7E" w14:textId="77777777" w:rsidR="007C70DA" w:rsidRPr="00C00BCB" w:rsidRDefault="007C70DA" w:rsidP="007C70DA">
            <w:pPr>
              <w:pStyle w:val="Technical4"/>
              <w:spacing w:line="360" w:lineRule="exact"/>
              <w:ind w:rightChars="63" w:right="151"/>
              <w:jc w:val="both"/>
              <w:rPr>
                <w:b w:val="0"/>
                <w:bCs/>
                <w:szCs w:val="24"/>
              </w:rPr>
            </w:pPr>
          </w:p>
          <w:p w14:paraId="2CA25DB7" w14:textId="77777777" w:rsidR="007C70DA" w:rsidRPr="00C00BCB" w:rsidRDefault="007C70DA" w:rsidP="007C70DA">
            <w:pPr>
              <w:pStyle w:val="Technical4"/>
              <w:spacing w:line="360" w:lineRule="exact"/>
              <w:ind w:rightChars="63" w:right="151"/>
              <w:jc w:val="both"/>
              <w:rPr>
                <w:b w:val="0"/>
                <w:bCs/>
                <w:szCs w:val="24"/>
              </w:rPr>
            </w:pPr>
            <w:r w:rsidRPr="00C00BCB">
              <w:rPr>
                <w:b w:val="0"/>
                <w:bCs/>
                <w:szCs w:val="24"/>
              </w:rPr>
              <w:t>(i)</w:t>
            </w:r>
            <w:r w:rsidRPr="00C00BCB">
              <w:rPr>
                <w:b w:val="0"/>
                <w:bCs/>
                <w:szCs w:val="24"/>
              </w:rPr>
              <w:tab/>
            </w:r>
            <w:r w:rsidRPr="00C00BCB">
              <w:rPr>
                <w:rFonts w:hint="eastAsia"/>
                <w:b w:val="0"/>
                <w:bCs/>
                <w:szCs w:val="24"/>
              </w:rPr>
              <w:t xml:space="preserve">A holding company and its subsidiaries are considered as one and the </w:t>
            </w:r>
            <w:r w:rsidRPr="00C00BCB">
              <w:rPr>
                <w:b w:val="0"/>
                <w:bCs/>
                <w:szCs w:val="24"/>
              </w:rPr>
              <w:t>same</w:t>
            </w:r>
            <w:r w:rsidRPr="00C00BCB">
              <w:rPr>
                <w:rFonts w:hint="eastAsia"/>
                <w:b w:val="0"/>
                <w:bCs/>
                <w:szCs w:val="24"/>
              </w:rPr>
              <w:t xml:space="preserve"> tenderer.  </w:t>
            </w:r>
            <w:r w:rsidRPr="00C00BCB">
              <w:rPr>
                <w:b w:val="0"/>
                <w:bCs/>
                <w:szCs w:val="24"/>
                <w:lang w:eastAsia="zh-HK"/>
              </w:rPr>
              <w:t>The existence of a holding-subsidiary relationship shall be determined as at the date set for the close of tender, or if this has been extended, the extended date, and in accordance with the provisions in Sections 13 to 15 of the Companies Ordinance (Cap. 622)</w:t>
            </w:r>
            <w:r w:rsidRPr="00C00BCB">
              <w:rPr>
                <w:b w:val="0"/>
                <w:bCs/>
                <w:szCs w:val="24"/>
              </w:rPr>
              <w:t xml:space="preserve">; and </w:t>
            </w:r>
          </w:p>
          <w:p w14:paraId="6BF20161" w14:textId="77777777" w:rsidR="007C70DA" w:rsidRPr="00C00BCB" w:rsidRDefault="007C70DA" w:rsidP="007C70DA">
            <w:pPr>
              <w:pStyle w:val="Technical4"/>
              <w:spacing w:line="360" w:lineRule="exact"/>
              <w:ind w:rightChars="63" w:right="151"/>
              <w:jc w:val="both"/>
              <w:rPr>
                <w:b w:val="0"/>
                <w:bCs/>
                <w:szCs w:val="24"/>
              </w:rPr>
            </w:pPr>
          </w:p>
          <w:p w14:paraId="3E2BE684" w14:textId="77777777" w:rsidR="007C70DA" w:rsidRPr="00C00BCB" w:rsidRDefault="007C70DA" w:rsidP="007C70DA">
            <w:pPr>
              <w:pStyle w:val="Technical4"/>
              <w:spacing w:line="360" w:lineRule="exact"/>
              <w:ind w:rightChars="63" w:right="151"/>
              <w:jc w:val="both"/>
              <w:rPr>
                <w:b w:val="0"/>
                <w:bCs/>
                <w:szCs w:val="24"/>
              </w:rPr>
            </w:pPr>
            <w:r w:rsidRPr="00C00BCB">
              <w:rPr>
                <w:b w:val="0"/>
                <w:bCs/>
                <w:szCs w:val="24"/>
              </w:rPr>
              <w:t>(ii)</w:t>
            </w:r>
            <w:r w:rsidRPr="00C00BCB">
              <w:rPr>
                <w:b w:val="0"/>
                <w:bCs/>
                <w:szCs w:val="24"/>
              </w:rPr>
              <w:tab/>
              <w:t>An entity (including but not limited to sole proprietorship, partnership and limited company) and its related parties as defined in sub-clause (2A) of GCT 29 are considered as one and the same tenderer.</w:t>
            </w:r>
          </w:p>
          <w:p w14:paraId="35372E98" w14:textId="77777777" w:rsidR="007C70DA" w:rsidRPr="00C00BCB" w:rsidRDefault="007C70DA" w:rsidP="007C70DA">
            <w:pPr>
              <w:pStyle w:val="Technical4"/>
              <w:spacing w:line="360" w:lineRule="exact"/>
              <w:ind w:rightChars="63" w:right="151"/>
              <w:jc w:val="both"/>
              <w:rPr>
                <w:b w:val="0"/>
                <w:bCs/>
                <w:szCs w:val="24"/>
              </w:rPr>
            </w:pPr>
          </w:p>
          <w:p w14:paraId="310CF4F4" w14:textId="67A77725" w:rsidR="007C70DA" w:rsidRPr="00115F00" w:rsidRDefault="007C70DA" w:rsidP="00C00BCB">
            <w:pPr>
              <w:pStyle w:val="Technical4"/>
              <w:spacing w:line="360" w:lineRule="exact"/>
              <w:ind w:rightChars="63" w:right="151"/>
              <w:jc w:val="both"/>
              <w:rPr>
                <w:b w:val="0"/>
                <w:bCs/>
              </w:rPr>
            </w:pPr>
            <w:r w:rsidRPr="00C00BCB">
              <w:rPr>
                <w:b w:val="0"/>
                <w:bCs/>
                <w:szCs w:val="24"/>
              </w:rPr>
              <w:t>For the avoidance of doubt, if two or more shareholders or participants in the same joint venture tenderer have a holding-subsidiary relationship or they are related, they shall not be regarded as having submitted more than one tender.</w:t>
            </w:r>
          </w:p>
        </w:tc>
        <w:tc>
          <w:tcPr>
            <w:tcW w:w="4395" w:type="dxa"/>
            <w:tcBorders>
              <w:top w:val="nil"/>
              <w:bottom w:val="nil"/>
            </w:tcBorders>
          </w:tcPr>
          <w:p w14:paraId="591E0A82" w14:textId="77777777" w:rsidR="00115F00" w:rsidRPr="00115F00" w:rsidRDefault="00115F00" w:rsidP="00115F00">
            <w:pPr>
              <w:pStyle w:val="a3"/>
              <w:tabs>
                <w:tab w:val="clear" w:pos="0"/>
              </w:tabs>
              <w:snapToGrid w:val="0"/>
              <w:spacing w:line="360" w:lineRule="exact"/>
              <w:ind w:leftChars="67" w:left="161" w:right="153"/>
              <w:jc w:val="left"/>
              <w:rPr>
                <w:b w:val="0"/>
                <w:bCs w:val="0"/>
                <w:sz w:val="24"/>
              </w:rPr>
            </w:pPr>
          </w:p>
        </w:tc>
      </w:tr>
      <w:tr w:rsidR="00115F00" w14:paraId="1130BD8F" w14:textId="77777777" w:rsidTr="00756E86">
        <w:tc>
          <w:tcPr>
            <w:tcW w:w="709" w:type="dxa"/>
            <w:tcBorders>
              <w:top w:val="nil"/>
              <w:bottom w:val="single" w:sz="4" w:space="0" w:color="auto"/>
              <w:right w:val="nil"/>
            </w:tcBorders>
          </w:tcPr>
          <w:p w14:paraId="6BF9E2EB" w14:textId="725BA590" w:rsidR="00115F00" w:rsidRPr="00EE7B7C" w:rsidRDefault="00115F00" w:rsidP="00115F00">
            <w:pPr>
              <w:pStyle w:val="Technical4"/>
              <w:spacing w:line="360" w:lineRule="exact"/>
              <w:ind w:rightChars="63" w:right="151"/>
              <w:jc w:val="both"/>
              <w:rPr>
                <w:b w:val="0"/>
                <w:bCs/>
                <w:szCs w:val="24"/>
              </w:rPr>
            </w:pPr>
          </w:p>
        </w:tc>
        <w:tc>
          <w:tcPr>
            <w:tcW w:w="4536" w:type="dxa"/>
            <w:tcBorders>
              <w:top w:val="nil"/>
              <w:left w:val="nil"/>
              <w:bottom w:val="single" w:sz="4" w:space="0" w:color="auto"/>
              <w:right w:val="single" w:sz="4" w:space="0" w:color="auto"/>
            </w:tcBorders>
          </w:tcPr>
          <w:p w14:paraId="6C8333F9" w14:textId="4ACB3FCE" w:rsidR="00115F00" w:rsidRPr="00F74418" w:rsidRDefault="00115F00" w:rsidP="00115F00">
            <w:pPr>
              <w:pStyle w:val="Technical4"/>
              <w:spacing w:line="360" w:lineRule="exact"/>
              <w:ind w:rightChars="63" w:right="151"/>
              <w:jc w:val="both"/>
              <w:rPr>
                <w:b w:val="0"/>
                <w:bCs/>
                <w:szCs w:val="24"/>
              </w:rPr>
            </w:pPr>
          </w:p>
        </w:tc>
        <w:tc>
          <w:tcPr>
            <w:tcW w:w="4395" w:type="dxa"/>
            <w:tcBorders>
              <w:top w:val="nil"/>
              <w:left w:val="single" w:sz="4" w:space="0" w:color="auto"/>
              <w:bottom w:val="single" w:sz="4" w:space="0" w:color="auto"/>
            </w:tcBorders>
          </w:tcPr>
          <w:p w14:paraId="006DD92A" w14:textId="1BB4BA40" w:rsidR="00115F00" w:rsidRPr="00F74418" w:rsidRDefault="00115F00" w:rsidP="00115F00">
            <w:pPr>
              <w:pStyle w:val="Technical4"/>
              <w:spacing w:line="360" w:lineRule="exact"/>
              <w:ind w:leftChars="67" w:left="161" w:right="63"/>
              <w:jc w:val="both"/>
              <w:rPr>
                <w:b w:val="0"/>
                <w:bCs/>
                <w:szCs w:val="24"/>
                <w:u w:val="single"/>
              </w:rPr>
            </w:pPr>
          </w:p>
        </w:tc>
      </w:tr>
    </w:tbl>
    <w:p w14:paraId="232D804E" w14:textId="77777777" w:rsidR="003E7F44" w:rsidRPr="003E7F44" w:rsidRDefault="003E7F44"/>
    <w:sectPr w:rsidR="003E7F44" w:rsidRPr="003E7F44" w:rsidSect="00756E86">
      <w:headerReference w:type="default" r:id="rId8"/>
      <w:footerReference w:type="default" r:id="rId9"/>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F0542" w14:textId="77777777" w:rsidR="00D57112" w:rsidRDefault="00D57112" w:rsidP="00EC49A7">
      <w:r>
        <w:separator/>
      </w:r>
    </w:p>
  </w:endnote>
  <w:endnote w:type="continuationSeparator" w:id="0">
    <w:p w14:paraId="617729CD" w14:textId="77777777" w:rsidR="00D57112" w:rsidRDefault="00D57112" w:rsidP="00EC49A7">
      <w:r>
        <w:continuationSeparator/>
      </w:r>
    </w:p>
  </w:endnote>
  <w:endnote w:type="continuationNotice" w:id="1">
    <w:p w14:paraId="0B7246F3" w14:textId="77777777" w:rsidR="00D57112" w:rsidRDefault="00D57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4742A" w14:textId="77777777" w:rsidR="00756E86" w:rsidRDefault="00756E86" w:rsidP="00756E86">
    <w:pPr>
      <w:pStyle w:val="aa"/>
      <w:pBdr>
        <w:bottom w:val="single" w:sz="12" w:space="1" w:color="auto"/>
      </w:pBdr>
      <w:rPr>
        <w:sz w:val="2"/>
      </w:rPr>
    </w:pPr>
  </w:p>
  <w:p w14:paraId="5A1959E1" w14:textId="77777777" w:rsidR="00756E86" w:rsidRDefault="00756E86" w:rsidP="00756E86">
    <w:pPr>
      <w:pStyle w:val="aa"/>
      <w:rPr>
        <w:sz w:val="24"/>
      </w:rPr>
    </w:pPr>
  </w:p>
  <w:p w14:paraId="1F38FB47" w14:textId="301EDCC4" w:rsidR="00D6702D" w:rsidRPr="00756E86" w:rsidRDefault="00756E86" w:rsidP="003630D9">
    <w:pPr>
      <w:pStyle w:val="aa"/>
      <w:tabs>
        <w:tab w:val="clear" w:pos="4153"/>
        <w:tab w:val="clear" w:pos="8306"/>
        <w:tab w:val="left" w:pos="3600"/>
        <w:tab w:val="left" w:pos="6946"/>
      </w:tabs>
    </w:pPr>
    <w:r>
      <w:rPr>
        <w:rFonts w:hint="eastAsia"/>
        <w:b/>
        <w:bCs/>
        <w:i/>
        <w:iCs/>
        <w:sz w:val="24"/>
        <w:lang w:eastAsia="zh-HK"/>
      </w:rPr>
      <w:t>Library of Standard SCT for NEC</w:t>
    </w:r>
    <w:r w:rsidR="003630D9">
      <w:rPr>
        <w:b/>
        <w:bCs/>
        <w:i/>
        <w:iCs/>
        <w:sz w:val="24"/>
        <w:lang w:eastAsia="zh-HK"/>
      </w:rPr>
      <w:t>4</w:t>
    </w:r>
    <w:r>
      <w:rPr>
        <w:rFonts w:hint="eastAsia"/>
        <w:b/>
        <w:bCs/>
        <w:i/>
        <w:iCs/>
        <w:sz w:val="24"/>
        <w:lang w:eastAsia="zh-HK"/>
      </w:rPr>
      <w:t xml:space="preserve"> ECC</w:t>
    </w:r>
    <w:r>
      <w:rPr>
        <w:b/>
        <w:bCs/>
        <w:i/>
        <w:iCs/>
        <w:sz w:val="24"/>
      </w:rPr>
      <w:t xml:space="preserve"> (</w:t>
    </w:r>
    <w:r w:rsidR="003630D9">
      <w:rPr>
        <w:b/>
        <w:bCs/>
        <w:i/>
        <w:iCs/>
        <w:sz w:val="24"/>
        <w:lang w:eastAsia="zh-HK"/>
      </w:rPr>
      <w:t>4.10.2021</w:t>
    </w:r>
    <w:r>
      <w:rPr>
        <w:b/>
        <w:bCs/>
        <w:i/>
        <w:iCs/>
        <w:sz w:val="24"/>
      </w:rPr>
      <w:t>)</w:t>
    </w:r>
    <w:r>
      <w:rPr>
        <w:b/>
        <w:bCs/>
        <w:i/>
        <w:iCs/>
        <w:sz w:val="24"/>
      </w:rPr>
      <w:tab/>
      <w:t>Page</w:t>
    </w:r>
    <w:r w:rsidR="003630D9">
      <w:rPr>
        <w:b/>
        <w:bCs/>
        <w:i/>
        <w:iCs/>
        <w:sz w:val="24"/>
      </w:rPr>
      <w:t xml:space="preserve"> SCT 5(V3)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793820">
      <w:rPr>
        <w:b/>
        <w:bCs/>
        <w:i/>
        <w:iCs/>
        <w:noProof/>
        <w:sz w:val="24"/>
      </w:rPr>
      <w:t>1</w:t>
    </w:r>
    <w:r>
      <w:rPr>
        <w:b/>
        <w:bCs/>
        <w:i/>
        <w:iCs/>
        <w:sz w:val="24"/>
      </w:rPr>
      <w:fldChar w:fldCharType="end"/>
    </w:r>
    <w:r>
      <w:rPr>
        <w:b/>
        <w:bCs/>
        <w:i/>
        <w:iCs/>
        <w:sz w:val="24"/>
      </w:rPr>
      <w:t xml:space="preserve"> of </w:t>
    </w:r>
    <w:r>
      <w:rPr>
        <w:b/>
        <w:bCs/>
        <w:i/>
        <w:iCs/>
        <w:sz w:val="24"/>
      </w:rPr>
      <w:fldChar w:fldCharType="begin"/>
    </w:r>
    <w:r>
      <w:rPr>
        <w:b/>
        <w:bCs/>
        <w:i/>
        <w:iCs/>
        <w:sz w:val="24"/>
      </w:rPr>
      <w:instrText xml:space="preserve"> NUMPAGES  </w:instrText>
    </w:r>
    <w:r>
      <w:rPr>
        <w:b/>
        <w:bCs/>
        <w:i/>
        <w:iCs/>
        <w:sz w:val="24"/>
      </w:rPr>
      <w:fldChar w:fldCharType="separate"/>
    </w:r>
    <w:r w:rsidR="00793820">
      <w:rPr>
        <w:b/>
        <w:bCs/>
        <w:i/>
        <w:iCs/>
        <w:noProof/>
        <w:sz w:val="24"/>
      </w:rPr>
      <w:t>2</w:t>
    </w:r>
    <w:r>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4850B" w14:textId="77777777" w:rsidR="00D57112" w:rsidRDefault="00D57112" w:rsidP="00EC49A7">
      <w:r>
        <w:separator/>
      </w:r>
    </w:p>
  </w:footnote>
  <w:footnote w:type="continuationSeparator" w:id="0">
    <w:p w14:paraId="0BC2D4C9" w14:textId="77777777" w:rsidR="00D57112" w:rsidRDefault="00D57112" w:rsidP="00EC49A7">
      <w:r>
        <w:continuationSeparator/>
      </w:r>
    </w:p>
  </w:footnote>
  <w:footnote w:type="continuationNotice" w:id="1">
    <w:p w14:paraId="11A1AB78" w14:textId="77777777" w:rsidR="00D57112" w:rsidRDefault="00D571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E8FF" w14:textId="77777777" w:rsidR="00756E86" w:rsidRPr="00756E86" w:rsidRDefault="00756E86" w:rsidP="00756E86">
    <w:pPr>
      <w:pStyle w:val="a8"/>
      <w:keepLines/>
      <w:widowControl/>
      <w:tabs>
        <w:tab w:val="clear" w:pos="4153"/>
        <w:tab w:val="clear" w:pos="8306"/>
        <w:tab w:val="left" w:pos="851"/>
        <w:tab w:val="center" w:pos="4320"/>
        <w:tab w:val="right" w:pos="8640"/>
      </w:tabs>
      <w:snapToGrid/>
      <w:spacing w:before="120" w:after="120"/>
      <w:jc w:val="center"/>
      <w:rPr>
        <w:b/>
        <w:bCs/>
        <w:kern w:val="0"/>
        <w:sz w:val="26"/>
      </w:rPr>
    </w:pPr>
    <w:r w:rsidRPr="00756E86">
      <w:rPr>
        <w:b/>
        <w:bCs/>
        <w:kern w:val="0"/>
        <w:sz w:val="26"/>
      </w:rPr>
      <w:t>Special Conditions of Tender</w:t>
    </w:r>
  </w:p>
  <w:p w14:paraId="33996200" w14:textId="77777777" w:rsidR="00756E86" w:rsidRPr="00756E86" w:rsidRDefault="00756E86" w:rsidP="00756E86">
    <w:pPr>
      <w:pStyle w:val="a8"/>
      <w:keepLines/>
      <w:widowControl/>
      <w:tabs>
        <w:tab w:val="clear" w:pos="4153"/>
        <w:tab w:val="clear" w:pos="8306"/>
        <w:tab w:val="left" w:pos="851"/>
        <w:tab w:val="center" w:pos="4320"/>
        <w:tab w:val="right" w:pos="8640"/>
      </w:tabs>
      <w:snapToGrid/>
      <w:spacing w:before="120" w:after="120"/>
      <w:jc w:val="center"/>
      <w:rPr>
        <w:b/>
        <w:bCs/>
        <w:kern w:val="0"/>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C6026"/>
    <w:multiLevelType w:val="hybridMultilevel"/>
    <w:tmpl w:val="736E9EFE"/>
    <w:lvl w:ilvl="0" w:tplc="6F1E2CDE">
      <w:start w:val="1"/>
      <w:numFmt w:val="lowerLetter"/>
      <w:lvlText w:val="(%1)"/>
      <w:lvlJc w:val="left"/>
      <w:pPr>
        <w:ind w:left="480" w:hanging="480"/>
      </w:pPr>
      <w:rPr>
        <w:rFonts w:ascii="Times New Roman"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997AC9"/>
    <w:multiLevelType w:val="hybridMultilevel"/>
    <w:tmpl w:val="D27214EA"/>
    <w:lvl w:ilvl="0" w:tplc="8F426620">
      <w:start w:val="1"/>
      <w:numFmt w:val="lowerLetter"/>
      <w:lvlText w:val="(%1)"/>
      <w:lvlJc w:val="left"/>
      <w:pPr>
        <w:tabs>
          <w:tab w:val="num" w:pos="495"/>
        </w:tabs>
        <w:ind w:left="495" w:hanging="495"/>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14C5200"/>
    <w:multiLevelType w:val="hybridMultilevel"/>
    <w:tmpl w:val="215E8E78"/>
    <w:lvl w:ilvl="0" w:tplc="6F1E2CDE">
      <w:start w:val="1"/>
      <w:numFmt w:val="lowerLetter"/>
      <w:lvlText w:val="(%1)"/>
      <w:lvlJc w:val="left"/>
      <w:pPr>
        <w:ind w:left="480" w:hanging="480"/>
      </w:pPr>
      <w:rPr>
        <w:rFonts w:ascii="Times New Roman"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16"/>
    <w:rsid w:val="0000079D"/>
    <w:rsid w:val="00001FF5"/>
    <w:rsid w:val="00007773"/>
    <w:rsid w:val="00007881"/>
    <w:rsid w:val="000118AC"/>
    <w:rsid w:val="000175EF"/>
    <w:rsid w:val="00020ED1"/>
    <w:rsid w:val="00032EC3"/>
    <w:rsid w:val="0004000E"/>
    <w:rsid w:val="000438D0"/>
    <w:rsid w:val="000659F8"/>
    <w:rsid w:val="0007212B"/>
    <w:rsid w:val="000745EB"/>
    <w:rsid w:val="0008364F"/>
    <w:rsid w:val="00086EF0"/>
    <w:rsid w:val="000930C8"/>
    <w:rsid w:val="000A355D"/>
    <w:rsid w:val="000A4B10"/>
    <w:rsid w:val="000A6605"/>
    <w:rsid w:val="000B33BF"/>
    <w:rsid w:val="000B35A7"/>
    <w:rsid w:val="000D082D"/>
    <w:rsid w:val="000D6182"/>
    <w:rsid w:val="000E091F"/>
    <w:rsid w:val="000F2645"/>
    <w:rsid w:val="000F786D"/>
    <w:rsid w:val="00115F00"/>
    <w:rsid w:val="001228B3"/>
    <w:rsid w:val="00141285"/>
    <w:rsid w:val="00156579"/>
    <w:rsid w:val="001677C9"/>
    <w:rsid w:val="00172409"/>
    <w:rsid w:val="00174B4B"/>
    <w:rsid w:val="001D227B"/>
    <w:rsid w:val="001D4664"/>
    <w:rsid w:val="001E4EB4"/>
    <w:rsid w:val="00206EC1"/>
    <w:rsid w:val="00224A94"/>
    <w:rsid w:val="0022620A"/>
    <w:rsid w:val="002318ED"/>
    <w:rsid w:val="00236203"/>
    <w:rsid w:val="00236832"/>
    <w:rsid w:val="00241715"/>
    <w:rsid w:val="0024238E"/>
    <w:rsid w:val="00273987"/>
    <w:rsid w:val="002832A1"/>
    <w:rsid w:val="00290BBE"/>
    <w:rsid w:val="002B33DE"/>
    <w:rsid w:val="002D4355"/>
    <w:rsid w:val="002F387D"/>
    <w:rsid w:val="00301F9E"/>
    <w:rsid w:val="00302AC6"/>
    <w:rsid w:val="00302DCF"/>
    <w:rsid w:val="00334B0F"/>
    <w:rsid w:val="00363006"/>
    <w:rsid w:val="003630D9"/>
    <w:rsid w:val="00373140"/>
    <w:rsid w:val="0037384C"/>
    <w:rsid w:val="003762BF"/>
    <w:rsid w:val="00377134"/>
    <w:rsid w:val="00392DA3"/>
    <w:rsid w:val="003937E4"/>
    <w:rsid w:val="003A396B"/>
    <w:rsid w:val="003B1EDD"/>
    <w:rsid w:val="003B3343"/>
    <w:rsid w:val="003C46A1"/>
    <w:rsid w:val="003C7104"/>
    <w:rsid w:val="003D0DA6"/>
    <w:rsid w:val="003D16D3"/>
    <w:rsid w:val="003E1FDB"/>
    <w:rsid w:val="003E7F44"/>
    <w:rsid w:val="003F733F"/>
    <w:rsid w:val="00420683"/>
    <w:rsid w:val="00430072"/>
    <w:rsid w:val="0043278C"/>
    <w:rsid w:val="00435445"/>
    <w:rsid w:val="0044746D"/>
    <w:rsid w:val="00452CB1"/>
    <w:rsid w:val="00456D96"/>
    <w:rsid w:val="004728EB"/>
    <w:rsid w:val="00483D88"/>
    <w:rsid w:val="004942C6"/>
    <w:rsid w:val="004965F8"/>
    <w:rsid w:val="004A58CD"/>
    <w:rsid w:val="004B271D"/>
    <w:rsid w:val="004C1B6D"/>
    <w:rsid w:val="004C55C5"/>
    <w:rsid w:val="004D6E44"/>
    <w:rsid w:val="004E4BFC"/>
    <w:rsid w:val="004E5D18"/>
    <w:rsid w:val="004F255A"/>
    <w:rsid w:val="004F7F75"/>
    <w:rsid w:val="005004C1"/>
    <w:rsid w:val="00502E0C"/>
    <w:rsid w:val="00503EB6"/>
    <w:rsid w:val="00522B63"/>
    <w:rsid w:val="00537AB7"/>
    <w:rsid w:val="005500E2"/>
    <w:rsid w:val="00562877"/>
    <w:rsid w:val="00564DF7"/>
    <w:rsid w:val="00574443"/>
    <w:rsid w:val="005754AA"/>
    <w:rsid w:val="005803B0"/>
    <w:rsid w:val="00583BDF"/>
    <w:rsid w:val="00590A2D"/>
    <w:rsid w:val="00594ABE"/>
    <w:rsid w:val="005A043B"/>
    <w:rsid w:val="005A1AF2"/>
    <w:rsid w:val="005A22E4"/>
    <w:rsid w:val="005B5AA2"/>
    <w:rsid w:val="005C4F82"/>
    <w:rsid w:val="005C5B6F"/>
    <w:rsid w:val="005D0761"/>
    <w:rsid w:val="00612663"/>
    <w:rsid w:val="00617DBD"/>
    <w:rsid w:val="006238A9"/>
    <w:rsid w:val="006326FD"/>
    <w:rsid w:val="006357DA"/>
    <w:rsid w:val="00670045"/>
    <w:rsid w:val="00676FC4"/>
    <w:rsid w:val="006931FF"/>
    <w:rsid w:val="006964CA"/>
    <w:rsid w:val="006B2C4B"/>
    <w:rsid w:val="006B52D1"/>
    <w:rsid w:val="006D5E8A"/>
    <w:rsid w:val="006D64A1"/>
    <w:rsid w:val="006E24D3"/>
    <w:rsid w:val="006E6B85"/>
    <w:rsid w:val="006E73ED"/>
    <w:rsid w:val="006F0AC0"/>
    <w:rsid w:val="006F19B6"/>
    <w:rsid w:val="006F2059"/>
    <w:rsid w:val="00722EC8"/>
    <w:rsid w:val="0072613F"/>
    <w:rsid w:val="00750668"/>
    <w:rsid w:val="00752FAC"/>
    <w:rsid w:val="00756E86"/>
    <w:rsid w:val="00767BCF"/>
    <w:rsid w:val="00772126"/>
    <w:rsid w:val="007861EB"/>
    <w:rsid w:val="00793820"/>
    <w:rsid w:val="007C0514"/>
    <w:rsid w:val="007C0D91"/>
    <w:rsid w:val="007C48A1"/>
    <w:rsid w:val="007C5758"/>
    <w:rsid w:val="007C70DA"/>
    <w:rsid w:val="007C754B"/>
    <w:rsid w:val="007E742C"/>
    <w:rsid w:val="008176F3"/>
    <w:rsid w:val="008178ED"/>
    <w:rsid w:val="00817CA6"/>
    <w:rsid w:val="008217F5"/>
    <w:rsid w:val="00822B7E"/>
    <w:rsid w:val="00830E98"/>
    <w:rsid w:val="00856496"/>
    <w:rsid w:val="00881C67"/>
    <w:rsid w:val="008937F1"/>
    <w:rsid w:val="008950CF"/>
    <w:rsid w:val="008A27DE"/>
    <w:rsid w:val="008A2A5E"/>
    <w:rsid w:val="008A77A6"/>
    <w:rsid w:val="008D35E5"/>
    <w:rsid w:val="008D42E2"/>
    <w:rsid w:val="008D7051"/>
    <w:rsid w:val="008E3363"/>
    <w:rsid w:val="009003D0"/>
    <w:rsid w:val="00901AD0"/>
    <w:rsid w:val="00921E13"/>
    <w:rsid w:val="00923BBB"/>
    <w:rsid w:val="009346A0"/>
    <w:rsid w:val="00937222"/>
    <w:rsid w:val="00940739"/>
    <w:rsid w:val="00941662"/>
    <w:rsid w:val="0094546F"/>
    <w:rsid w:val="00954863"/>
    <w:rsid w:val="00971CFC"/>
    <w:rsid w:val="009731B0"/>
    <w:rsid w:val="009863E2"/>
    <w:rsid w:val="00987CDD"/>
    <w:rsid w:val="00990600"/>
    <w:rsid w:val="00996641"/>
    <w:rsid w:val="00996AB3"/>
    <w:rsid w:val="009A21A4"/>
    <w:rsid w:val="009A73FD"/>
    <w:rsid w:val="009B1503"/>
    <w:rsid w:val="009B6071"/>
    <w:rsid w:val="009C1D25"/>
    <w:rsid w:val="009C76F9"/>
    <w:rsid w:val="009D33D4"/>
    <w:rsid w:val="009E4D79"/>
    <w:rsid w:val="009E66BD"/>
    <w:rsid w:val="009F034A"/>
    <w:rsid w:val="009F65CC"/>
    <w:rsid w:val="00A07065"/>
    <w:rsid w:val="00A15FD5"/>
    <w:rsid w:val="00A17D8C"/>
    <w:rsid w:val="00A209C1"/>
    <w:rsid w:val="00A30B92"/>
    <w:rsid w:val="00A3733F"/>
    <w:rsid w:val="00A45712"/>
    <w:rsid w:val="00A5016E"/>
    <w:rsid w:val="00A547E5"/>
    <w:rsid w:val="00A62232"/>
    <w:rsid w:val="00A718F8"/>
    <w:rsid w:val="00A83556"/>
    <w:rsid w:val="00A903E6"/>
    <w:rsid w:val="00A9585F"/>
    <w:rsid w:val="00A95EF9"/>
    <w:rsid w:val="00AB0328"/>
    <w:rsid w:val="00AB3883"/>
    <w:rsid w:val="00AB3D31"/>
    <w:rsid w:val="00AC37A2"/>
    <w:rsid w:val="00AE623F"/>
    <w:rsid w:val="00AE759C"/>
    <w:rsid w:val="00AF72EF"/>
    <w:rsid w:val="00B01463"/>
    <w:rsid w:val="00B0215C"/>
    <w:rsid w:val="00B043F6"/>
    <w:rsid w:val="00B1184D"/>
    <w:rsid w:val="00B11DD6"/>
    <w:rsid w:val="00B15C18"/>
    <w:rsid w:val="00B235E9"/>
    <w:rsid w:val="00B368CF"/>
    <w:rsid w:val="00B41621"/>
    <w:rsid w:val="00B652F0"/>
    <w:rsid w:val="00B87CAB"/>
    <w:rsid w:val="00B91791"/>
    <w:rsid w:val="00BA0A76"/>
    <w:rsid w:val="00BA5895"/>
    <w:rsid w:val="00BC5441"/>
    <w:rsid w:val="00BC6AA6"/>
    <w:rsid w:val="00BD6EC7"/>
    <w:rsid w:val="00BE4D0B"/>
    <w:rsid w:val="00BF59DD"/>
    <w:rsid w:val="00C00BCB"/>
    <w:rsid w:val="00C101C7"/>
    <w:rsid w:val="00C1251E"/>
    <w:rsid w:val="00C141F7"/>
    <w:rsid w:val="00C14681"/>
    <w:rsid w:val="00C146C3"/>
    <w:rsid w:val="00C22059"/>
    <w:rsid w:val="00C41965"/>
    <w:rsid w:val="00C66DA7"/>
    <w:rsid w:val="00C70A03"/>
    <w:rsid w:val="00C76BCB"/>
    <w:rsid w:val="00CA2B10"/>
    <w:rsid w:val="00CA30B2"/>
    <w:rsid w:val="00CB0756"/>
    <w:rsid w:val="00CD7D4F"/>
    <w:rsid w:val="00CE64BA"/>
    <w:rsid w:val="00CF08C1"/>
    <w:rsid w:val="00CF5BCC"/>
    <w:rsid w:val="00D15C40"/>
    <w:rsid w:val="00D20DDB"/>
    <w:rsid w:val="00D355F5"/>
    <w:rsid w:val="00D57112"/>
    <w:rsid w:val="00D6702D"/>
    <w:rsid w:val="00D73809"/>
    <w:rsid w:val="00D73A5E"/>
    <w:rsid w:val="00D74B46"/>
    <w:rsid w:val="00D83654"/>
    <w:rsid w:val="00D87530"/>
    <w:rsid w:val="00D91508"/>
    <w:rsid w:val="00D93F64"/>
    <w:rsid w:val="00D9482E"/>
    <w:rsid w:val="00DA0624"/>
    <w:rsid w:val="00DB2673"/>
    <w:rsid w:val="00DB3A49"/>
    <w:rsid w:val="00DC0EE6"/>
    <w:rsid w:val="00DC61EE"/>
    <w:rsid w:val="00DE3CB3"/>
    <w:rsid w:val="00DF7EA2"/>
    <w:rsid w:val="00E07193"/>
    <w:rsid w:val="00E179CB"/>
    <w:rsid w:val="00E22E23"/>
    <w:rsid w:val="00E24F9E"/>
    <w:rsid w:val="00E30C1C"/>
    <w:rsid w:val="00E33875"/>
    <w:rsid w:val="00E4794C"/>
    <w:rsid w:val="00E5201E"/>
    <w:rsid w:val="00E62572"/>
    <w:rsid w:val="00E64116"/>
    <w:rsid w:val="00E76503"/>
    <w:rsid w:val="00E766BD"/>
    <w:rsid w:val="00E80356"/>
    <w:rsid w:val="00E96D4D"/>
    <w:rsid w:val="00E97922"/>
    <w:rsid w:val="00EA1E99"/>
    <w:rsid w:val="00EA6AF3"/>
    <w:rsid w:val="00EC49A7"/>
    <w:rsid w:val="00ED1376"/>
    <w:rsid w:val="00ED160A"/>
    <w:rsid w:val="00ED3FFB"/>
    <w:rsid w:val="00ED42B8"/>
    <w:rsid w:val="00ED6762"/>
    <w:rsid w:val="00EE7B7C"/>
    <w:rsid w:val="00EF58CE"/>
    <w:rsid w:val="00EF7A95"/>
    <w:rsid w:val="00F02019"/>
    <w:rsid w:val="00F43363"/>
    <w:rsid w:val="00F46799"/>
    <w:rsid w:val="00F47125"/>
    <w:rsid w:val="00F52D42"/>
    <w:rsid w:val="00F5459D"/>
    <w:rsid w:val="00F545F7"/>
    <w:rsid w:val="00F5778C"/>
    <w:rsid w:val="00F57A8D"/>
    <w:rsid w:val="00F61434"/>
    <w:rsid w:val="00F72289"/>
    <w:rsid w:val="00F75B0A"/>
    <w:rsid w:val="00F865EC"/>
    <w:rsid w:val="00F91887"/>
    <w:rsid w:val="00F927B0"/>
    <w:rsid w:val="00FA4CB0"/>
    <w:rsid w:val="00FC0D49"/>
    <w:rsid w:val="00FD34BD"/>
    <w:rsid w:val="00FE0D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6F219"/>
  <w15:chartTrackingRefBased/>
  <w15:docId w15:val="{C4BEE4D2-E946-4E83-A3DF-7E1B1241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11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64116"/>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4">
    <w:name w:val="標題 字元"/>
    <w:basedOn w:val="a0"/>
    <w:link w:val="a3"/>
    <w:rsid w:val="00E64116"/>
    <w:rPr>
      <w:rFonts w:ascii="Times New Roman" w:eastAsia="新細明體" w:hAnsi="Times New Roman" w:cs="Times New Roman"/>
      <w:b/>
      <w:bCs/>
      <w:color w:val="000000"/>
      <w:spacing w:val="-3"/>
      <w:sz w:val="32"/>
      <w:szCs w:val="24"/>
    </w:rPr>
  </w:style>
  <w:style w:type="paragraph" w:customStyle="1" w:styleId="Technical4">
    <w:name w:val="Technical 4"/>
    <w:rsid w:val="00E64116"/>
    <w:pPr>
      <w:widowControl w:val="0"/>
      <w:tabs>
        <w:tab w:val="left" w:pos="-720"/>
      </w:tabs>
      <w:suppressAutoHyphens/>
      <w:overflowPunct w:val="0"/>
      <w:autoSpaceDE w:val="0"/>
      <w:autoSpaceDN w:val="0"/>
      <w:adjustRightInd w:val="0"/>
      <w:spacing w:line="240" w:lineRule="atLeast"/>
      <w:textAlignment w:val="baseline"/>
    </w:pPr>
    <w:rPr>
      <w:rFonts w:ascii="Times New Roman" w:eastAsia="新細明體" w:hAnsi="Times New Roman" w:cs="Times New Roman"/>
      <w:b/>
      <w:kern w:val="0"/>
      <w:szCs w:val="20"/>
    </w:rPr>
  </w:style>
  <w:style w:type="paragraph" w:styleId="a5">
    <w:name w:val="Revision"/>
    <w:hidden/>
    <w:uiPriority w:val="99"/>
    <w:semiHidden/>
    <w:rsid w:val="00ED42B8"/>
    <w:rPr>
      <w:rFonts w:ascii="Times New Roman" w:eastAsia="新細明體" w:hAnsi="Times New Roman" w:cs="Times New Roman"/>
      <w:szCs w:val="24"/>
    </w:rPr>
  </w:style>
  <w:style w:type="paragraph" w:styleId="a6">
    <w:name w:val="Balloon Text"/>
    <w:basedOn w:val="a"/>
    <w:link w:val="a7"/>
    <w:uiPriority w:val="99"/>
    <w:semiHidden/>
    <w:unhideWhenUsed/>
    <w:rsid w:val="00ED42B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D42B8"/>
    <w:rPr>
      <w:rFonts w:asciiTheme="majorHAnsi" w:eastAsiaTheme="majorEastAsia" w:hAnsiTheme="majorHAnsi" w:cstheme="majorBidi"/>
      <w:sz w:val="18"/>
      <w:szCs w:val="18"/>
    </w:rPr>
  </w:style>
  <w:style w:type="paragraph" w:styleId="a8">
    <w:name w:val="header"/>
    <w:basedOn w:val="a"/>
    <w:link w:val="a9"/>
    <w:unhideWhenUsed/>
    <w:rsid w:val="00EC49A7"/>
    <w:pPr>
      <w:tabs>
        <w:tab w:val="center" w:pos="4153"/>
        <w:tab w:val="right" w:pos="8306"/>
      </w:tabs>
      <w:snapToGrid w:val="0"/>
    </w:pPr>
    <w:rPr>
      <w:sz w:val="20"/>
      <w:szCs w:val="20"/>
    </w:rPr>
  </w:style>
  <w:style w:type="character" w:customStyle="1" w:styleId="a9">
    <w:name w:val="頁首 字元"/>
    <w:basedOn w:val="a0"/>
    <w:link w:val="a8"/>
    <w:rsid w:val="00EC49A7"/>
    <w:rPr>
      <w:rFonts w:ascii="Times New Roman" w:eastAsia="新細明體" w:hAnsi="Times New Roman" w:cs="Times New Roman"/>
      <w:sz w:val="20"/>
      <w:szCs w:val="20"/>
    </w:rPr>
  </w:style>
  <w:style w:type="paragraph" w:styleId="aa">
    <w:name w:val="footer"/>
    <w:basedOn w:val="a"/>
    <w:link w:val="ab"/>
    <w:unhideWhenUsed/>
    <w:rsid w:val="00EC49A7"/>
    <w:pPr>
      <w:tabs>
        <w:tab w:val="center" w:pos="4153"/>
        <w:tab w:val="right" w:pos="8306"/>
      </w:tabs>
      <w:snapToGrid w:val="0"/>
    </w:pPr>
    <w:rPr>
      <w:sz w:val="20"/>
      <w:szCs w:val="20"/>
    </w:rPr>
  </w:style>
  <w:style w:type="character" w:customStyle="1" w:styleId="ab">
    <w:name w:val="頁尾 字元"/>
    <w:basedOn w:val="a0"/>
    <w:link w:val="aa"/>
    <w:uiPriority w:val="99"/>
    <w:rsid w:val="00EC49A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3C2E-C835-4BC0-BFE2-44C1B7CB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WM LI</dc:creator>
  <cp:keywords/>
  <dc:description/>
  <cp:lastModifiedBy>Regis Chee</cp:lastModifiedBy>
  <cp:revision>5</cp:revision>
  <cp:lastPrinted>2019-10-28T04:10:00Z</cp:lastPrinted>
  <dcterms:created xsi:type="dcterms:W3CDTF">2020-11-03T06:22:00Z</dcterms:created>
  <dcterms:modified xsi:type="dcterms:W3CDTF">2021-09-14T01:26:00Z</dcterms:modified>
</cp:coreProperties>
</file>