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:rsidRPr="004D0F75" w14:paraId="786AB3FA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28EDDF17" w14:textId="77777777" w:rsidR="00427391" w:rsidRPr="004D0F75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4D0F75"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89432B9" w14:textId="77777777" w:rsidR="00427391" w:rsidRPr="004D0F75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4D0F75">
              <w:rPr>
                <w:sz w:val="24"/>
              </w:rPr>
              <w:t>Remarks/Guidelines</w:t>
            </w:r>
          </w:p>
        </w:tc>
      </w:tr>
      <w:tr w:rsidR="00427391" w:rsidRPr="004D0F75" w14:paraId="57E0CA99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6AE" w14:textId="222E3A75" w:rsidR="00427391" w:rsidRPr="004D0F75" w:rsidRDefault="000C7676" w:rsidP="00CC2139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4D0F75">
              <w:rPr>
                <w:b/>
                <w:bCs/>
              </w:rPr>
              <w:t>S</w:t>
            </w:r>
            <w:r w:rsidR="00427391" w:rsidRPr="004D0F75">
              <w:rPr>
                <w:b/>
                <w:bCs/>
              </w:rPr>
              <w:t xml:space="preserve">CT 1  </w:t>
            </w:r>
            <w:proofErr w:type="spellStart"/>
            <w:r w:rsidRPr="004D0F75">
              <w:rPr>
                <w:rFonts w:hint="eastAsia"/>
                <w:b/>
              </w:rPr>
              <w:t>P</w:t>
            </w:r>
            <w:r w:rsidRPr="004D0F75">
              <w:rPr>
                <w:rFonts w:hint="eastAsia"/>
                <w:b/>
                <w:bCs/>
                <w:color w:val="000000"/>
                <w:spacing w:val="-3"/>
              </w:rPr>
              <w:t>rogramme</w:t>
            </w:r>
            <w:proofErr w:type="spellEnd"/>
            <w:r w:rsidRPr="004D0F75">
              <w:rPr>
                <w:rFonts w:hint="eastAsia"/>
                <w:b/>
                <w:bCs/>
                <w:color w:val="000000"/>
                <w:spacing w:val="-3"/>
              </w:rPr>
              <w:t xml:space="preserve"> of </w:t>
            </w:r>
            <w:r w:rsidR="00CC2139">
              <w:rPr>
                <w:b/>
                <w:bCs/>
                <w:i/>
                <w:color w:val="000000"/>
                <w:spacing w:val="-3"/>
              </w:rPr>
              <w:t>w</w:t>
            </w:r>
            <w:r w:rsidR="00CC2139" w:rsidRPr="00715E15">
              <w:rPr>
                <w:b/>
                <w:bCs/>
                <w:i/>
                <w:color w:val="000000"/>
                <w:spacing w:val="-3"/>
              </w:rPr>
              <w:t>orks</w:t>
            </w:r>
          </w:p>
        </w:tc>
      </w:tr>
      <w:tr w:rsidR="000C7676" w:rsidRPr="004D0F75" w14:paraId="6B0BAA57" w14:textId="77777777" w:rsidTr="000C7676">
        <w:trPr>
          <w:cantSplit/>
        </w:trPr>
        <w:tc>
          <w:tcPr>
            <w:tcW w:w="788" w:type="dxa"/>
            <w:tcBorders>
              <w:top w:val="single" w:sz="4" w:space="0" w:color="auto"/>
              <w:bottom w:val="nil"/>
              <w:right w:val="nil"/>
            </w:tcBorders>
          </w:tcPr>
          <w:p w14:paraId="65C9442B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rFonts w:hint="eastAsia"/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</w:tcBorders>
          </w:tcPr>
          <w:p w14:paraId="754917BC" w14:textId="62855BC4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rFonts w:hint="eastAsia"/>
                <w:b w:val="0"/>
                <w:bCs w:val="0"/>
                <w:sz w:val="24"/>
              </w:rPr>
              <w:t xml:space="preserve">The tenderer shall submit with </w:t>
            </w:r>
            <w:r w:rsidR="00760FE9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="00760FE9"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sz w:val="24"/>
              </w:rPr>
              <w:t xml:space="preserve">tender a construction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showing the phasing and construction times of the major items of the </w:t>
            </w:r>
            <w:r w:rsidRPr="004D0F75">
              <w:rPr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4D0F75">
              <w:rPr>
                <w:b w:val="0"/>
                <w:bCs w:val="0"/>
                <w:sz w:val="24"/>
              </w:rPr>
              <w:t xml:space="preserve">. </w:t>
            </w:r>
          </w:p>
          <w:p w14:paraId="102079A4" w14:textId="311E5010" w:rsidR="000C7676" w:rsidRPr="004D0F75" w:rsidRDefault="000C7676" w:rsidP="006A533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tenderer shall take cognizance of any sequence, method or timing of construction specified in </w:t>
            </w:r>
            <w:r w:rsidRPr="004D0F75">
              <w:rPr>
                <w:b w:val="0"/>
                <w:bCs w:val="0"/>
                <w:color w:val="auto"/>
                <w:sz w:val="24"/>
              </w:rPr>
              <w:t>this contract.</w:t>
            </w:r>
            <w:r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color w:val="0000FF"/>
                <w:sz w:val="24"/>
              </w:rPr>
              <w:t xml:space="preserve">[Optional: The tenderer’s attention is drawn to the following factors when preparing </w:t>
            </w:r>
            <w:r w:rsidR="00760FE9" w:rsidRPr="004D0F75">
              <w:rPr>
                <w:b w:val="0"/>
                <w:bCs w:val="0"/>
                <w:color w:val="0000FF"/>
                <w:sz w:val="24"/>
              </w:rPr>
              <w:t>its</w:t>
            </w:r>
            <w:r w:rsidRPr="004D0F75">
              <w:rPr>
                <w:b w:val="0"/>
                <w:bCs w:val="0"/>
                <w:color w:val="0000FF"/>
                <w:sz w:val="24"/>
              </w:rPr>
              <w:t xml:space="preserve"> proposed </w:t>
            </w:r>
            <w:proofErr w:type="spellStart"/>
            <w:r w:rsidRPr="004D0F75">
              <w:rPr>
                <w:b w:val="0"/>
                <w:bCs w:val="0"/>
                <w:color w:val="0000FF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color w:val="0000FF"/>
                <w:sz w:val="24"/>
              </w:rPr>
              <w:t xml:space="preserve"> submission: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</w:tcBorders>
          </w:tcPr>
          <w:p w14:paraId="48E7433F" w14:textId="506E7ED0" w:rsidR="000C7676" w:rsidRPr="004D0F75" w:rsidRDefault="000C7676" w:rsidP="000D11DE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4D0F75">
              <w:rPr>
                <w:b w:val="0"/>
                <w:bCs w:val="0"/>
                <w:iCs/>
                <w:sz w:val="24"/>
              </w:rPr>
              <w:t xml:space="preserve">This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</w:t>
            </w:r>
            <w:r w:rsidRPr="004D0F75">
              <w:rPr>
                <w:b w:val="0"/>
                <w:bCs w:val="0"/>
                <w:iCs/>
                <w:sz w:val="24"/>
              </w:rPr>
              <w:t xml:space="preserve">lause shall not be used generally.  Pursuant to the guidelines given in SETW’s memo ref.: ETWB(W) 546/83/01 dated 10.1.2003, departments should not ask tenderers to make immaterial submissions where a non-submission or a poor submission would not affect the tender recommendation.  In general, where selective tendering is adopted or where a marking scheme is used to ensure that only qualified contractors are eligible to tender, the contractor will be expected to possess the necessary expertise for programming and undertaking the </w:t>
            </w:r>
            <w:r w:rsidRPr="004D0F75">
              <w:rPr>
                <w:b w:val="0"/>
                <w:bCs w:val="0"/>
                <w:i/>
                <w:iCs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iCs/>
                <w:sz w:val="24"/>
              </w:rPr>
              <w:t>orks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and examination of the </w:t>
            </w:r>
            <w:proofErr w:type="spellStart"/>
            <w:r w:rsidRPr="004D0F75">
              <w:rPr>
                <w:b w:val="0"/>
                <w:bCs w:val="0"/>
                <w:iCs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sz w:val="24"/>
              </w:rPr>
              <w:t xml:space="preserve"> at tender stage will not be necessary.  Only when the project is very complex and with anticipated problems in interfacing and phased completion requirements and it is essential for a tenderer to demonstrate in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tender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ability to identify and manage such complexities, then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this Clause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shall be included.</w:t>
            </w:r>
          </w:p>
        </w:tc>
      </w:tr>
      <w:tr w:rsidR="000C7676" w:rsidRPr="004D0F75" w14:paraId="6A1D4417" w14:textId="77777777" w:rsidTr="000C7676">
        <w:trPr>
          <w:cantSplit/>
        </w:trPr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3992BF5F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color w:val="0000FF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4DC46B6A" w14:textId="3A03C183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120" w:after="120"/>
              <w:ind w:leftChars="-11" w:left="513" w:rightChars="63" w:right="151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  <w:lang w:eastAsia="zh-HK"/>
              </w:rPr>
              <w:t>C</w:t>
            </w:r>
            <w:r w:rsidRPr="004D0F75">
              <w:rPr>
                <w:iCs/>
                <w:color w:val="0000FF"/>
              </w:rPr>
              <w:t xml:space="preserve">ompletion </w:t>
            </w:r>
            <w:r w:rsidRPr="004D0F75">
              <w:rPr>
                <w:iCs/>
                <w:color w:val="0000FF"/>
                <w:lang w:eastAsia="zh-HK"/>
              </w:rPr>
              <w:t>D</w:t>
            </w:r>
            <w:r w:rsidRPr="004D0F75">
              <w:rPr>
                <w:iCs/>
                <w:color w:val="0000FF"/>
              </w:rPr>
              <w:t xml:space="preserve">ates </w:t>
            </w:r>
            <w:r w:rsidRPr="004D0F75">
              <w:rPr>
                <w:iCs/>
                <w:color w:val="0000FF"/>
                <w:lang w:eastAsia="zh-HK"/>
              </w:rPr>
              <w:t xml:space="preserve">and Key Dates </w:t>
            </w:r>
            <w:r w:rsidRPr="004D0F75">
              <w:rPr>
                <w:iCs/>
                <w:color w:val="0000FF"/>
              </w:rPr>
              <w:t xml:space="preserve">for </w:t>
            </w:r>
            <w:r w:rsidRPr="004D0F75">
              <w:rPr>
                <w:i/>
                <w:iCs/>
                <w:color w:val="0000FF"/>
                <w:lang w:eastAsia="zh-HK"/>
              </w:rPr>
              <w:t>s</w:t>
            </w:r>
            <w:r w:rsidRPr="004D0F75">
              <w:rPr>
                <w:i/>
                <w:iCs/>
                <w:color w:val="0000FF"/>
              </w:rPr>
              <w:t>ection(s)</w:t>
            </w:r>
            <w:r w:rsidRPr="004D0F75">
              <w:rPr>
                <w:iCs/>
                <w:color w:val="0000FF"/>
              </w:rPr>
              <w:t xml:space="preserve"> of</w:t>
            </w:r>
            <w:r w:rsidR="00AB38D7" w:rsidRPr="004D0F75">
              <w:rPr>
                <w:iCs/>
                <w:color w:val="0000FF"/>
              </w:rPr>
              <w:t xml:space="preserve"> </w:t>
            </w:r>
            <w:r w:rsidR="00AB38D7" w:rsidRPr="00715E15">
              <w:rPr>
                <w:iCs/>
                <w:color w:val="0000FF"/>
                <w:vertAlign w:val="superscript"/>
              </w:rPr>
              <w:t>#</w:t>
            </w:r>
            <w:r w:rsidRPr="004D0F75">
              <w:rPr>
                <w:rFonts w:hint="eastAsia"/>
                <w:iCs/>
                <w:color w:val="0000FF"/>
              </w:rPr>
              <w:t xml:space="preserve"> the </w:t>
            </w:r>
            <w:r w:rsidRPr="004D0F75">
              <w:rPr>
                <w:i/>
                <w:iCs/>
                <w:color w:val="0000FF"/>
                <w:lang w:eastAsia="zh-HK"/>
              </w:rPr>
              <w:t>w</w:t>
            </w:r>
            <w:r w:rsidRPr="004D0F75">
              <w:rPr>
                <w:i/>
                <w:iCs/>
                <w:color w:val="0000FF"/>
              </w:rPr>
              <w:t>orks</w:t>
            </w:r>
            <w:r w:rsidRPr="004D0F75">
              <w:rPr>
                <w:iCs/>
                <w:color w:val="0000FF"/>
              </w:rPr>
              <w:t>;</w:t>
            </w:r>
          </w:p>
          <w:p w14:paraId="03599B6D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interface problems or constraints;</w:t>
            </w:r>
          </w:p>
          <w:p w14:paraId="1FAC56E0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special sequencing requirements;</w:t>
            </w:r>
          </w:p>
          <w:p w14:paraId="318DA4A5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site access constraints;</w:t>
            </w:r>
          </w:p>
          <w:p w14:paraId="21F21C8B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work restrictions;</w:t>
            </w:r>
          </w:p>
          <w:p w14:paraId="603DC8BA" w14:textId="77777777" w:rsidR="000C7676" w:rsidRPr="004D0F75" w:rsidRDefault="000C7676" w:rsidP="00601CA3">
            <w:pPr>
              <w:pStyle w:val="a9"/>
              <w:numPr>
                <w:ilvl w:val="0"/>
                <w:numId w:val="17"/>
              </w:numPr>
              <w:tabs>
                <w:tab w:val="left" w:pos="512"/>
              </w:tabs>
              <w:spacing w:beforeLines="20" w:before="72" w:afterLines="20" w:after="72"/>
              <w:ind w:left="513" w:rightChars="63" w:right="151" w:hanging="539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4D0F75">
              <w:rPr>
                <w:b w:val="0"/>
                <w:bCs w:val="0"/>
                <w:iCs/>
                <w:color w:val="0000FF"/>
                <w:sz w:val="24"/>
              </w:rPr>
              <w:t>etc.]</w:t>
            </w:r>
          </w:p>
        </w:tc>
        <w:tc>
          <w:tcPr>
            <w:tcW w:w="4322" w:type="dxa"/>
            <w:vMerge/>
            <w:tcBorders>
              <w:bottom w:val="nil"/>
            </w:tcBorders>
          </w:tcPr>
          <w:p w14:paraId="3D4A654E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leftChars="67" w:left="161" w:rightChars="63" w:right="151"/>
              <w:jc w:val="left"/>
              <w:rPr>
                <w:b w:val="0"/>
                <w:bCs w:val="0"/>
                <w:iCs/>
                <w:sz w:val="24"/>
              </w:rPr>
            </w:pPr>
          </w:p>
        </w:tc>
      </w:tr>
      <w:tr w:rsidR="000C7676" w:rsidRPr="004D0F75" w14:paraId="7661FE38" w14:textId="77777777" w:rsidTr="000C7676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7FCA0FA0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05C67533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to be submitted with the tender shall be in the form of a bar chart showing the earliest and latest start and finish dates for each major item and the critical path</w:t>
            </w:r>
            <w:r w:rsidRPr="004D0F75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4D0F75">
              <w:rPr>
                <w:b w:val="0"/>
                <w:bCs w:val="0"/>
                <w:color w:val="0000FF"/>
                <w:sz w:val="24"/>
                <w:lang w:eastAsia="zh-HK"/>
              </w:rPr>
              <w:t>[Optional: and other preliminary information required under NEC Clause 31.2]</w:t>
            </w:r>
            <w:r w:rsidRPr="004D0F75">
              <w:rPr>
                <w:b w:val="0"/>
                <w:bCs w:val="0"/>
                <w:sz w:val="24"/>
              </w:rPr>
              <w:t>.</w:t>
            </w:r>
          </w:p>
          <w:p w14:paraId="298AD39C" w14:textId="1E6BD6B1" w:rsidR="00562297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4D0F75">
              <w:rPr>
                <w:b w:val="0"/>
                <w:bCs w:val="0"/>
                <w:iCs/>
                <w:color w:val="0000FF"/>
                <w:sz w:val="24"/>
              </w:rPr>
              <w:t xml:space="preserve">[Note: if other forms of </w:t>
            </w:r>
            <w:proofErr w:type="spellStart"/>
            <w:r w:rsidRPr="004D0F75">
              <w:rPr>
                <w:b w:val="0"/>
                <w:bCs w:val="0"/>
                <w:iCs/>
                <w:color w:val="0000FF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color w:val="0000FF"/>
                <w:sz w:val="24"/>
              </w:rPr>
              <w:t xml:space="preserve"> are required, reword the above sentence accordingly.]</w:t>
            </w:r>
          </w:p>
          <w:p w14:paraId="7BF2A7A2" w14:textId="77777777" w:rsidR="00562297" w:rsidRPr="00555391" w:rsidRDefault="00562297" w:rsidP="00555391">
            <w:pPr>
              <w:rPr>
                <w:b/>
                <w:bCs/>
              </w:rPr>
            </w:pPr>
          </w:p>
          <w:p w14:paraId="0E3EE87E" w14:textId="77777777" w:rsidR="00562297" w:rsidRPr="00555391" w:rsidRDefault="00562297" w:rsidP="00555391">
            <w:pPr>
              <w:rPr>
                <w:b/>
                <w:bCs/>
              </w:rPr>
            </w:pPr>
          </w:p>
          <w:p w14:paraId="6136B0F1" w14:textId="77777777" w:rsidR="00562297" w:rsidRPr="00555391" w:rsidRDefault="00562297" w:rsidP="00555391">
            <w:pPr>
              <w:rPr>
                <w:b/>
                <w:bCs/>
              </w:rPr>
            </w:pPr>
          </w:p>
          <w:p w14:paraId="2A17F7A1" w14:textId="1E69F05C" w:rsidR="000C7676" w:rsidRPr="00555391" w:rsidRDefault="000C7676" w:rsidP="00555391">
            <w:pPr>
              <w:rPr>
                <w:b/>
                <w:bCs/>
              </w:rPr>
            </w:pP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4DE4D659" w14:textId="39104656" w:rsidR="000C7676" w:rsidRPr="004D0F75" w:rsidRDefault="000C7676" w:rsidP="00601CA3">
            <w:pPr>
              <w:pStyle w:val="a9"/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4D0F75">
              <w:rPr>
                <w:b w:val="0"/>
                <w:bCs w:val="0"/>
                <w:iCs/>
                <w:sz w:val="24"/>
              </w:rPr>
              <w:lastRenderedPageBreak/>
              <w:t>Where th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is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Clause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is included, it shall be inserted as an essential </w:t>
            </w:r>
            <w:r w:rsidR="00480DC5">
              <w:rPr>
                <w:b w:val="0"/>
                <w:bCs w:val="0"/>
                <w:iCs/>
                <w:sz w:val="24"/>
              </w:rPr>
              <w:t xml:space="preserve">submission </w:t>
            </w:r>
            <w:r w:rsidRPr="004D0F75">
              <w:rPr>
                <w:b w:val="0"/>
                <w:bCs w:val="0"/>
                <w:iCs/>
                <w:sz w:val="24"/>
              </w:rPr>
              <w:t>pursuant to Clause 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 xml:space="preserve">GCT </w:t>
            </w:r>
            <w:r w:rsidRPr="004D0F75">
              <w:rPr>
                <w:b w:val="0"/>
                <w:bCs w:val="0"/>
                <w:iCs/>
                <w:sz w:val="24"/>
              </w:rPr>
              <w:t xml:space="preserve">21. Where a </w:t>
            </w:r>
            <w:proofErr w:type="spellStart"/>
            <w:r w:rsidRPr="004D0F75">
              <w:rPr>
                <w:b w:val="0"/>
                <w:bCs w:val="0"/>
                <w:iCs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sz w:val="24"/>
              </w:rPr>
              <w:t xml:space="preserve"> of Works is required to be submitted with the tender, the tender shall be invalidated if the tenderer does not make such a submission.  If the tenderer makes a poor submission which fails to demonstrate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understanding of and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capability in programming the </w:t>
            </w:r>
            <w:r w:rsidRPr="004D0F75">
              <w:rPr>
                <w:b w:val="0"/>
                <w:bCs w:val="0"/>
                <w:i/>
                <w:iCs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iCs/>
                <w:sz w:val="24"/>
              </w:rPr>
              <w:t>orks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for th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</w:t>
            </w:r>
            <w:r w:rsidRPr="004D0F75">
              <w:rPr>
                <w:b w:val="0"/>
                <w:bCs w:val="0"/>
                <w:iCs/>
                <w:sz w:val="24"/>
              </w:rPr>
              <w:t xml:space="preserve">ontract under the very special </w:t>
            </w:r>
            <w:r w:rsidRPr="004D0F75">
              <w:rPr>
                <w:b w:val="0"/>
                <w:bCs w:val="0"/>
                <w:iCs/>
                <w:sz w:val="24"/>
              </w:rPr>
              <w:lastRenderedPageBreak/>
              <w:t xml:space="preserve">circumstances or </w:t>
            </w:r>
            <w:proofErr w:type="spellStart"/>
            <w:r w:rsidRPr="004D0F75">
              <w:rPr>
                <w:b w:val="0"/>
                <w:bCs w:val="0"/>
                <w:iCs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sz w:val="24"/>
              </w:rPr>
              <w:t xml:space="preserve"> requirements as specified, the tenderer shall be considered as not technically capable for recommendation for award of th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</w:t>
            </w:r>
            <w:r w:rsidRPr="004D0F75">
              <w:rPr>
                <w:b w:val="0"/>
                <w:bCs w:val="0"/>
                <w:iCs/>
                <w:sz w:val="24"/>
              </w:rPr>
              <w:t>ontract.  Legal advice should be obtained to form such a recommendation.</w:t>
            </w:r>
          </w:p>
          <w:p w14:paraId="5EFFE388" w14:textId="77777777" w:rsidR="00760FE9" w:rsidRPr="004D0F75" w:rsidRDefault="00760FE9" w:rsidP="007333C4">
            <w:pPr>
              <w:spacing w:beforeLines="20" w:before="72" w:afterLines="20" w:after="72"/>
              <w:ind w:leftChars="63" w:left="151"/>
              <w:rPr>
                <w:color w:val="0000FF"/>
              </w:rPr>
            </w:pPr>
          </w:p>
          <w:p w14:paraId="19C8B206" w14:textId="77777777" w:rsidR="00F97A72" w:rsidRPr="004D0F75" w:rsidRDefault="00F97A72" w:rsidP="00A670CD">
            <w:pPr>
              <w:spacing w:beforeLines="20" w:before="72" w:afterLines="20" w:after="72"/>
              <w:ind w:leftChars="63" w:left="151"/>
              <w:rPr>
                <w:color w:val="0000FF"/>
              </w:rPr>
            </w:pPr>
            <w:r w:rsidRPr="004D0F75">
              <w:rPr>
                <w:color w:val="0000FF"/>
              </w:rPr>
              <w:t xml:space="preserve"># </w:t>
            </w:r>
            <w:r w:rsidRPr="004D0F75">
              <w:rPr>
                <w:color w:val="0000FF"/>
              </w:rPr>
              <w:tab/>
              <w:t>Modify if Option X5 is not applicable</w:t>
            </w:r>
          </w:p>
          <w:p w14:paraId="43624CF2" w14:textId="77777777" w:rsidR="00996FE7" w:rsidRPr="004D0F75" w:rsidRDefault="00996FE7" w:rsidP="007333C4">
            <w:pPr>
              <w:spacing w:beforeLines="20" w:before="72" w:afterLines="20" w:after="72"/>
              <w:ind w:leftChars="63" w:left="151"/>
              <w:rPr>
                <w:color w:val="0000FF"/>
              </w:rPr>
            </w:pPr>
          </w:p>
          <w:p w14:paraId="2D2EC5AB" w14:textId="77777777" w:rsidR="009B5C8A" w:rsidRPr="004D0F75" w:rsidRDefault="009B5C8A" w:rsidP="00A670CD">
            <w:pPr>
              <w:spacing w:beforeLines="20" w:before="72" w:afterLines="20" w:after="72"/>
              <w:ind w:leftChars="63" w:left="151"/>
              <w:rPr>
                <w:b/>
                <w:bCs/>
                <w:iCs/>
              </w:rPr>
            </w:pPr>
          </w:p>
        </w:tc>
      </w:tr>
      <w:tr w:rsidR="000C7676" w:rsidRPr="004D0F75" w14:paraId="3BB936F4" w14:textId="77777777" w:rsidTr="000C7676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2862A707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lastRenderedPageBreak/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6BAE749B" w14:textId="61B4C214" w:rsidR="000C7676" w:rsidRPr="004D0F75" w:rsidRDefault="000C7676" w:rsidP="00CD50A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submission of this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is for the tenderer to demonstrate </w:t>
            </w:r>
            <w:r w:rsidR="003A2995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="003A2995"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sz w:val="24"/>
              </w:rPr>
              <w:t xml:space="preserve">understanding of and </w:t>
            </w:r>
            <w:r w:rsidR="003A2995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="003A2995"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sz w:val="24"/>
              </w:rPr>
              <w:t xml:space="preserve">capability in programming the </w:t>
            </w:r>
            <w:r w:rsidRPr="004D0F75">
              <w:rPr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4D0F75">
              <w:rPr>
                <w:b w:val="0"/>
                <w:bCs w:val="0"/>
                <w:sz w:val="24"/>
              </w:rPr>
              <w:t xml:space="preserve"> for </w:t>
            </w:r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>this contract</w:t>
            </w:r>
            <w:r w:rsidRPr="004D0F75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1EBC5FF0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0C7676" w:rsidRPr="006A2904" w14:paraId="140A4E3F" w14:textId="77777777" w:rsidTr="000C7676">
        <w:tc>
          <w:tcPr>
            <w:tcW w:w="788" w:type="dxa"/>
            <w:tcBorders>
              <w:top w:val="nil"/>
              <w:bottom w:val="single" w:sz="2" w:space="0" w:color="000000"/>
              <w:right w:val="nil"/>
            </w:tcBorders>
          </w:tcPr>
          <w:p w14:paraId="4B7E1465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</w:tcBorders>
          </w:tcPr>
          <w:p w14:paraId="3EE133CB" w14:textId="77777777" w:rsidR="000C7676" w:rsidRPr="002B5541" w:rsidRDefault="000C7676" w:rsidP="00CD50A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shall not form part of </w:t>
            </w:r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>this contract.</w:t>
            </w:r>
            <w:r w:rsidRPr="004D0F75">
              <w:rPr>
                <w:b w:val="0"/>
                <w:bCs w:val="0"/>
                <w:sz w:val="24"/>
                <w:lang w:eastAsia="zh-HK"/>
              </w:rPr>
              <w:t xml:space="preserve">  </w:t>
            </w:r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 xml:space="preserve">It shall not be taken as a </w:t>
            </w:r>
            <w:proofErr w:type="spellStart"/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>programme</w:t>
            </w:r>
            <w:proofErr w:type="spellEnd"/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 xml:space="preserve"> in the Contract Data under NEC Clause 31.1</w:t>
            </w:r>
            <w:r w:rsidRPr="004D0F75">
              <w:rPr>
                <w:b w:val="0"/>
                <w:bCs w:val="0"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single" w:sz="2" w:space="0" w:color="000000"/>
            </w:tcBorders>
          </w:tcPr>
          <w:p w14:paraId="608CC910" w14:textId="77777777" w:rsidR="000C7676" w:rsidRPr="006A2904" w:rsidRDefault="000C7676" w:rsidP="00601CA3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</w:tbl>
    <w:p w14:paraId="6A687BC9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D31CD" w14:textId="77777777" w:rsidR="00BE4D85" w:rsidRDefault="00BE4D85" w:rsidP="00A24422">
      <w:pPr>
        <w:pStyle w:val="ae"/>
      </w:pPr>
      <w:r>
        <w:separator/>
      </w:r>
    </w:p>
  </w:endnote>
  <w:endnote w:type="continuationSeparator" w:id="0">
    <w:p w14:paraId="6D1130A0" w14:textId="77777777" w:rsidR="00BE4D85" w:rsidRDefault="00BE4D8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B9BA3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41BE807A" w14:textId="77777777" w:rsidR="00462E23" w:rsidRDefault="00462E23">
    <w:pPr>
      <w:pStyle w:val="a6"/>
      <w:rPr>
        <w:sz w:val="24"/>
      </w:rPr>
    </w:pPr>
  </w:p>
  <w:p w14:paraId="44538E01" w14:textId="52EA65F4" w:rsidR="00462E23" w:rsidRDefault="00626235" w:rsidP="004D0F75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4D0F75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475A94">
      <w:rPr>
        <w:b/>
        <w:bCs/>
        <w:i/>
        <w:iCs/>
        <w:sz w:val="24"/>
        <w:lang w:eastAsia="zh-HK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4D0F75">
      <w:rPr>
        <w:b/>
        <w:bCs/>
        <w:i/>
        <w:iCs/>
        <w:sz w:val="24"/>
      </w:rPr>
      <w:t xml:space="preserve"> SCT 1 -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233EF0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233EF0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0D69" w14:textId="77777777" w:rsidR="00BE4D85" w:rsidRDefault="00BE4D85" w:rsidP="00A24422">
      <w:pPr>
        <w:pStyle w:val="ae"/>
      </w:pPr>
      <w:r>
        <w:separator/>
      </w:r>
    </w:p>
  </w:footnote>
  <w:footnote w:type="continuationSeparator" w:id="0">
    <w:p w14:paraId="64C68CD7" w14:textId="77777777" w:rsidR="00BE4D85" w:rsidRDefault="00BE4D8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B100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4FD024D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56887"/>
    <w:rsid w:val="0006112A"/>
    <w:rsid w:val="00067F20"/>
    <w:rsid w:val="00070107"/>
    <w:rsid w:val="000727BF"/>
    <w:rsid w:val="00072C15"/>
    <w:rsid w:val="00074E49"/>
    <w:rsid w:val="0008076D"/>
    <w:rsid w:val="000814D4"/>
    <w:rsid w:val="00084F85"/>
    <w:rsid w:val="000858FA"/>
    <w:rsid w:val="000945B5"/>
    <w:rsid w:val="000A2B49"/>
    <w:rsid w:val="000A638C"/>
    <w:rsid w:val="000C6058"/>
    <w:rsid w:val="000C7676"/>
    <w:rsid w:val="000D11DE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7D40"/>
    <w:rsid w:val="001B28C2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3EF0"/>
    <w:rsid w:val="0023606F"/>
    <w:rsid w:val="00236213"/>
    <w:rsid w:val="00240A59"/>
    <w:rsid w:val="00246FC8"/>
    <w:rsid w:val="00251549"/>
    <w:rsid w:val="00252812"/>
    <w:rsid w:val="00267486"/>
    <w:rsid w:val="00267B8D"/>
    <w:rsid w:val="00273F6A"/>
    <w:rsid w:val="002772D8"/>
    <w:rsid w:val="002804C9"/>
    <w:rsid w:val="0028225E"/>
    <w:rsid w:val="0029030A"/>
    <w:rsid w:val="00290312"/>
    <w:rsid w:val="00291F94"/>
    <w:rsid w:val="00295D84"/>
    <w:rsid w:val="00297CF7"/>
    <w:rsid w:val="002A307A"/>
    <w:rsid w:val="002A5615"/>
    <w:rsid w:val="002B3D0B"/>
    <w:rsid w:val="002B5BC8"/>
    <w:rsid w:val="002B5DFD"/>
    <w:rsid w:val="002C3793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23DC8"/>
    <w:rsid w:val="00333AC0"/>
    <w:rsid w:val="00343673"/>
    <w:rsid w:val="00344540"/>
    <w:rsid w:val="00345925"/>
    <w:rsid w:val="00345984"/>
    <w:rsid w:val="00346743"/>
    <w:rsid w:val="00347BE7"/>
    <w:rsid w:val="00350B24"/>
    <w:rsid w:val="00381BDB"/>
    <w:rsid w:val="00383C4E"/>
    <w:rsid w:val="003841EF"/>
    <w:rsid w:val="0038638E"/>
    <w:rsid w:val="0038766C"/>
    <w:rsid w:val="00390C73"/>
    <w:rsid w:val="003925E7"/>
    <w:rsid w:val="00395384"/>
    <w:rsid w:val="003A2995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9DE"/>
    <w:rsid w:val="003D0C83"/>
    <w:rsid w:val="003D127F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A94"/>
    <w:rsid w:val="00475CD4"/>
    <w:rsid w:val="00477AF2"/>
    <w:rsid w:val="00480DC5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92C"/>
    <w:rsid w:val="004C6C21"/>
    <w:rsid w:val="004D0ACB"/>
    <w:rsid w:val="004D0F75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5391"/>
    <w:rsid w:val="00562297"/>
    <w:rsid w:val="00563816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41AC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282B"/>
    <w:rsid w:val="005E7DB0"/>
    <w:rsid w:val="005F191C"/>
    <w:rsid w:val="005F3979"/>
    <w:rsid w:val="005F42C4"/>
    <w:rsid w:val="005F445E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339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AD4"/>
    <w:rsid w:val="00715C52"/>
    <w:rsid w:val="00715E15"/>
    <w:rsid w:val="00720747"/>
    <w:rsid w:val="00722869"/>
    <w:rsid w:val="0072736A"/>
    <w:rsid w:val="007278B4"/>
    <w:rsid w:val="00730028"/>
    <w:rsid w:val="00730EE3"/>
    <w:rsid w:val="007333C4"/>
    <w:rsid w:val="00741239"/>
    <w:rsid w:val="00742FD3"/>
    <w:rsid w:val="00751C3A"/>
    <w:rsid w:val="00752EFE"/>
    <w:rsid w:val="007557C4"/>
    <w:rsid w:val="007606EF"/>
    <w:rsid w:val="00760FE9"/>
    <w:rsid w:val="00761DC2"/>
    <w:rsid w:val="0076254F"/>
    <w:rsid w:val="007639B1"/>
    <w:rsid w:val="00765FC8"/>
    <w:rsid w:val="00766CD1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6AB0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78B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96FE7"/>
    <w:rsid w:val="009A0914"/>
    <w:rsid w:val="009A27FA"/>
    <w:rsid w:val="009A3516"/>
    <w:rsid w:val="009A72DC"/>
    <w:rsid w:val="009A7850"/>
    <w:rsid w:val="009B5C8A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0A55"/>
    <w:rsid w:val="00A44ABB"/>
    <w:rsid w:val="00A45E30"/>
    <w:rsid w:val="00A45EA3"/>
    <w:rsid w:val="00A5184E"/>
    <w:rsid w:val="00A54EEF"/>
    <w:rsid w:val="00A56E71"/>
    <w:rsid w:val="00A670CD"/>
    <w:rsid w:val="00A67709"/>
    <w:rsid w:val="00A82A3F"/>
    <w:rsid w:val="00A83BE2"/>
    <w:rsid w:val="00A8418A"/>
    <w:rsid w:val="00A8539D"/>
    <w:rsid w:val="00AB0032"/>
    <w:rsid w:val="00AB27F1"/>
    <w:rsid w:val="00AB316A"/>
    <w:rsid w:val="00AB38D7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1DDF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4D85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0B4"/>
    <w:rsid w:val="00C973F6"/>
    <w:rsid w:val="00CA641B"/>
    <w:rsid w:val="00CA6B7E"/>
    <w:rsid w:val="00CB6E3C"/>
    <w:rsid w:val="00CC2139"/>
    <w:rsid w:val="00CC3314"/>
    <w:rsid w:val="00CC356D"/>
    <w:rsid w:val="00CC4DA3"/>
    <w:rsid w:val="00CC5289"/>
    <w:rsid w:val="00CC765A"/>
    <w:rsid w:val="00CD50A4"/>
    <w:rsid w:val="00CE5FCC"/>
    <w:rsid w:val="00CF0A33"/>
    <w:rsid w:val="00CF2E5C"/>
    <w:rsid w:val="00CF4267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1BE5"/>
    <w:rsid w:val="00DD2EE7"/>
    <w:rsid w:val="00DE1019"/>
    <w:rsid w:val="00DE2579"/>
    <w:rsid w:val="00DE7241"/>
    <w:rsid w:val="00DF0501"/>
    <w:rsid w:val="00DF4942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3A81"/>
    <w:rsid w:val="00E34F71"/>
    <w:rsid w:val="00E3676A"/>
    <w:rsid w:val="00E4022E"/>
    <w:rsid w:val="00E41A91"/>
    <w:rsid w:val="00E47C73"/>
    <w:rsid w:val="00E523A3"/>
    <w:rsid w:val="00E55650"/>
    <w:rsid w:val="00E55E07"/>
    <w:rsid w:val="00E55FD9"/>
    <w:rsid w:val="00E6058E"/>
    <w:rsid w:val="00E61905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00AD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97A72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6E69E"/>
  <w15:chartTrackingRefBased/>
  <w15:docId w15:val="{312A763E-F5C9-4DB0-BA75-36AE55D7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CC3314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540A-3CA7-4B38-A61C-39EDA367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2411</Characters>
  <Application>Microsoft Office Word</Application>
  <DocSecurity>0</DocSecurity>
  <Lines>96</Lines>
  <Paragraphs>26</Paragraphs>
  <ScaleCrop>false</ScaleCrop>
  <Company>HKSARG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2022-05-10T03:09:00Z</dcterms:created>
  <dcterms:modified xsi:type="dcterms:W3CDTF">2022-05-10T03:09:00Z</dcterms:modified>
</cp:coreProperties>
</file>